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C146" w14:textId="7191183C" w:rsidR="0052343B" w:rsidRPr="00AE2786" w:rsidRDefault="00D6478B" w:rsidP="00277282">
      <w:pPr>
        <w:jc w:val="center"/>
        <w:rPr>
          <w:rFonts w:ascii="Bankinter Sans" w:hAnsi="Bankinter Sans"/>
          <w:b/>
          <w:bCs/>
          <w:sz w:val="48"/>
          <w:szCs w:val="48"/>
          <w:lang w:val="es-ES_tradnl"/>
        </w:rPr>
      </w:pPr>
      <w:r>
        <w:rPr>
          <w:rFonts w:ascii="Bankinter Sans" w:hAnsi="Bankinter Sans"/>
          <w:b/>
          <w:bCs/>
          <w:sz w:val="48"/>
          <w:szCs w:val="48"/>
          <w:lang w:val="es-ES_tradnl"/>
        </w:rPr>
        <w:t>La inversión en el</w:t>
      </w:r>
      <w:r w:rsidR="007C6B4C">
        <w:rPr>
          <w:rFonts w:ascii="Bankinter Sans" w:hAnsi="Bankinter Sans"/>
          <w:b/>
          <w:bCs/>
          <w:sz w:val="48"/>
          <w:szCs w:val="48"/>
          <w:lang w:val="es-ES_tradnl"/>
        </w:rPr>
        <w:t xml:space="preserve"> ecosistema </w:t>
      </w:r>
      <w:r>
        <w:rPr>
          <w:rFonts w:ascii="Bankinter Sans" w:hAnsi="Bankinter Sans"/>
          <w:b/>
          <w:bCs/>
          <w:sz w:val="48"/>
          <w:szCs w:val="48"/>
          <w:lang w:val="es-ES_tradnl"/>
        </w:rPr>
        <w:t xml:space="preserve">de </w:t>
      </w:r>
      <w:r w:rsidR="007C6B4C">
        <w:rPr>
          <w:rFonts w:ascii="Bankinter Sans" w:hAnsi="Bankinter Sans"/>
          <w:b/>
          <w:bCs/>
          <w:sz w:val="48"/>
          <w:szCs w:val="48"/>
          <w:lang w:val="es-ES_tradnl"/>
        </w:rPr>
        <w:t xml:space="preserve">startups español </w:t>
      </w:r>
      <w:r>
        <w:rPr>
          <w:rFonts w:ascii="Bankinter Sans" w:hAnsi="Bankinter Sans"/>
          <w:b/>
          <w:bCs/>
          <w:sz w:val="48"/>
          <w:szCs w:val="48"/>
          <w:lang w:val="es-ES_tradnl"/>
        </w:rPr>
        <w:t xml:space="preserve">se enfría </w:t>
      </w:r>
      <w:r w:rsidR="007C6B4C">
        <w:rPr>
          <w:rFonts w:ascii="Bankinter Sans" w:hAnsi="Bankinter Sans"/>
          <w:b/>
          <w:bCs/>
          <w:sz w:val="48"/>
          <w:szCs w:val="48"/>
          <w:lang w:val="es-ES_tradnl"/>
        </w:rPr>
        <w:t>en 2022</w:t>
      </w:r>
      <w:r>
        <w:rPr>
          <w:rFonts w:ascii="Bankinter Sans" w:hAnsi="Bankinter Sans"/>
          <w:b/>
          <w:bCs/>
          <w:sz w:val="48"/>
          <w:szCs w:val="48"/>
          <w:lang w:val="es-ES_tradnl"/>
        </w:rPr>
        <w:t xml:space="preserve"> pero </w:t>
      </w:r>
      <w:r w:rsidR="005F0FCF">
        <w:rPr>
          <w:rFonts w:ascii="Bankinter Sans" w:hAnsi="Bankinter Sans"/>
          <w:b/>
          <w:bCs/>
          <w:sz w:val="48"/>
          <w:szCs w:val="48"/>
          <w:lang w:val="es-ES_tradnl"/>
        </w:rPr>
        <w:t xml:space="preserve">aumentan </w:t>
      </w:r>
      <w:r>
        <w:rPr>
          <w:rFonts w:ascii="Bankinter Sans" w:hAnsi="Bankinter Sans"/>
          <w:b/>
          <w:bCs/>
          <w:sz w:val="48"/>
          <w:szCs w:val="48"/>
          <w:lang w:val="es-ES_tradnl"/>
        </w:rPr>
        <w:t>las operaciones</w:t>
      </w:r>
    </w:p>
    <w:p w14:paraId="57D74B4C" w14:textId="169AB4D0" w:rsidR="00522DE5" w:rsidRDefault="0052343B" w:rsidP="00D6478B">
      <w:pPr>
        <w:pStyle w:val="paragraph"/>
        <w:numPr>
          <w:ilvl w:val="0"/>
          <w:numId w:val="3"/>
        </w:numPr>
        <w:spacing w:line="254" w:lineRule="auto"/>
        <w:ind w:left="0"/>
        <w:jc w:val="left"/>
        <w:rPr>
          <w:rFonts w:ascii="Bankinter Sans" w:hAnsi="Bankinter Sans" w:cs="Arial"/>
          <w:sz w:val="20"/>
          <w:szCs w:val="20"/>
        </w:rPr>
      </w:pPr>
      <w:r w:rsidRPr="00D6478B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 xml:space="preserve">La Fundación Innovación Bankinter presenta el Informe </w:t>
      </w:r>
      <w:r w:rsidR="00286B81" w:rsidRPr="00D6478B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>anual</w:t>
      </w:r>
      <w:r w:rsidRPr="00D6478B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 xml:space="preserve"> de</w:t>
      </w:r>
      <w:r w:rsidRPr="00D6478B">
        <w:rPr>
          <w:rStyle w:val="normaltextrun"/>
          <w:rFonts w:ascii="Bankinter Sans" w:eastAsiaTheme="minorHAnsi" w:hAnsi="Bankinter Sans" w:cstheme="majorBidi"/>
          <w:bCs/>
          <w:i/>
          <w:iCs/>
          <w:color w:val="auto"/>
          <w:sz w:val="20"/>
          <w:szCs w:val="20"/>
          <w:lang w:eastAsia="en-US"/>
        </w:rPr>
        <w:t xml:space="preserve"> tendencias de inversión en España </w:t>
      </w:r>
      <w:r w:rsidR="00D6478B" w:rsidRPr="00D6478B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>en el que destaca que la</w:t>
      </w:r>
      <w:r w:rsidR="00277282" w:rsidRPr="00D6478B">
        <w:rPr>
          <w:rFonts w:ascii="Bankinter Sans" w:hAnsi="Bankinter Sans" w:cs="Arial"/>
          <w:sz w:val="20"/>
          <w:szCs w:val="20"/>
        </w:rPr>
        <w:t xml:space="preserve"> inversión total desciende un 20% respecto a 2021</w:t>
      </w:r>
      <w:r w:rsidR="005F0FCF">
        <w:rPr>
          <w:rFonts w:ascii="Bankinter Sans" w:hAnsi="Bankinter Sans" w:cs="Arial"/>
          <w:sz w:val="20"/>
          <w:szCs w:val="20"/>
        </w:rPr>
        <w:t>.</w:t>
      </w:r>
    </w:p>
    <w:p w14:paraId="0EBB99CB" w14:textId="44C06555" w:rsidR="00E8621D" w:rsidRDefault="00522DE5" w:rsidP="0052343B">
      <w:pPr>
        <w:pStyle w:val="paragraph"/>
        <w:numPr>
          <w:ilvl w:val="0"/>
          <w:numId w:val="3"/>
        </w:numPr>
        <w:rPr>
          <w:rFonts w:ascii="Bankinter Sans" w:hAnsi="Bankinter Sans" w:cs="Arial"/>
          <w:sz w:val="20"/>
          <w:szCs w:val="20"/>
        </w:rPr>
      </w:pPr>
      <w:r>
        <w:rPr>
          <w:rFonts w:ascii="Bankinter Sans" w:hAnsi="Bankinter Sans" w:cs="Arial"/>
          <w:sz w:val="20"/>
          <w:szCs w:val="20"/>
        </w:rPr>
        <w:t>A</w:t>
      </w:r>
      <w:r w:rsidR="00277282" w:rsidRPr="00D6478B">
        <w:rPr>
          <w:rFonts w:ascii="Bankinter Sans" w:hAnsi="Bankinter Sans" w:cs="Arial"/>
          <w:sz w:val="20"/>
          <w:szCs w:val="20"/>
        </w:rPr>
        <w:t xml:space="preserve">umenta </w:t>
      </w:r>
      <w:r w:rsidR="00D6478B" w:rsidRPr="00D6478B">
        <w:rPr>
          <w:rFonts w:ascii="Bankinter Sans" w:hAnsi="Bankinter Sans" w:cs="Arial"/>
          <w:sz w:val="20"/>
          <w:szCs w:val="20"/>
        </w:rPr>
        <w:t xml:space="preserve">un 3% </w:t>
      </w:r>
      <w:r w:rsidR="00277282" w:rsidRPr="00D6478B">
        <w:rPr>
          <w:rFonts w:ascii="Bankinter Sans" w:hAnsi="Bankinter Sans" w:cs="Arial"/>
          <w:sz w:val="20"/>
          <w:szCs w:val="20"/>
        </w:rPr>
        <w:t>el número de operaciones</w:t>
      </w:r>
      <w:r>
        <w:rPr>
          <w:rFonts w:ascii="Bankinter Sans" w:hAnsi="Bankinter Sans" w:cs="Arial"/>
          <w:sz w:val="20"/>
          <w:szCs w:val="20"/>
        </w:rPr>
        <w:t xml:space="preserve"> y crece notablemente la inversión local</w:t>
      </w:r>
      <w:r w:rsidR="005F0FCF">
        <w:rPr>
          <w:rFonts w:ascii="Bankinter Sans" w:hAnsi="Bankinter Sans" w:cs="Arial"/>
          <w:sz w:val="20"/>
          <w:szCs w:val="20"/>
        </w:rPr>
        <w:t xml:space="preserve">. </w:t>
      </w:r>
      <w:r w:rsidR="00E8621D" w:rsidRPr="00E8621D">
        <w:rPr>
          <w:rFonts w:ascii="Bankinter Sans" w:hAnsi="Bankinter Sans" w:cs="Arial"/>
          <w:sz w:val="20"/>
          <w:szCs w:val="20"/>
        </w:rPr>
        <w:t>Las fases más tempranas crecen ligeramente</w:t>
      </w:r>
      <w:r w:rsidR="00E8621D">
        <w:rPr>
          <w:rFonts w:ascii="Bankinter Sans" w:hAnsi="Bankinter Sans" w:cs="Arial"/>
          <w:sz w:val="20"/>
          <w:szCs w:val="20"/>
        </w:rPr>
        <w:t xml:space="preserve"> y a</w:t>
      </w:r>
      <w:r w:rsidR="00E8621D" w:rsidRPr="00E8621D">
        <w:rPr>
          <w:rFonts w:ascii="Bankinter Sans" w:hAnsi="Bankinter Sans" w:cs="Arial"/>
          <w:sz w:val="20"/>
          <w:szCs w:val="20"/>
        </w:rPr>
        <w:t>umenta la inversión en Serie C</w:t>
      </w:r>
      <w:r w:rsidR="00E8621D">
        <w:rPr>
          <w:rFonts w:ascii="Bankinter Sans" w:hAnsi="Bankinter Sans" w:cs="Arial"/>
          <w:sz w:val="20"/>
          <w:szCs w:val="20"/>
        </w:rPr>
        <w:t xml:space="preserve">. Disminuye la inversión </w:t>
      </w:r>
      <w:r>
        <w:rPr>
          <w:rFonts w:ascii="Bankinter Sans" w:hAnsi="Bankinter Sans" w:cs="Arial"/>
          <w:sz w:val="20"/>
          <w:szCs w:val="20"/>
        </w:rPr>
        <w:t>levemente</w:t>
      </w:r>
      <w:r w:rsidRPr="00E8621D">
        <w:rPr>
          <w:rFonts w:ascii="Bankinter Sans" w:hAnsi="Bankinter Sans" w:cs="Arial"/>
          <w:sz w:val="20"/>
          <w:szCs w:val="20"/>
        </w:rPr>
        <w:t xml:space="preserve"> </w:t>
      </w:r>
      <w:r w:rsidR="00E8621D" w:rsidRPr="00E8621D">
        <w:rPr>
          <w:rFonts w:ascii="Bankinter Sans" w:hAnsi="Bankinter Sans" w:cs="Arial"/>
          <w:sz w:val="20"/>
          <w:szCs w:val="20"/>
        </w:rPr>
        <w:t xml:space="preserve">en Serie B y muy significativamente en </w:t>
      </w:r>
      <w:r w:rsidR="00E8621D">
        <w:rPr>
          <w:rFonts w:ascii="Bankinter Sans" w:hAnsi="Bankinter Sans" w:cs="Arial"/>
          <w:sz w:val="20"/>
          <w:szCs w:val="20"/>
        </w:rPr>
        <w:t xml:space="preserve">fase </w:t>
      </w:r>
      <w:r w:rsidR="00E8621D" w:rsidRPr="00E8621D">
        <w:rPr>
          <w:rFonts w:ascii="Bankinter Sans" w:hAnsi="Bankinter Sans" w:cs="Arial"/>
          <w:sz w:val="20"/>
          <w:szCs w:val="20"/>
        </w:rPr>
        <w:t>Growth.</w:t>
      </w:r>
      <w:r w:rsidR="005F0FCF">
        <w:rPr>
          <w:rFonts w:ascii="Bankinter Sans" w:hAnsi="Bankinter Sans" w:cs="Arial"/>
          <w:sz w:val="20"/>
          <w:szCs w:val="20"/>
        </w:rPr>
        <w:t xml:space="preserve"> </w:t>
      </w:r>
      <w:r w:rsidR="005F0FCF" w:rsidRPr="005F0FCF">
        <w:rPr>
          <w:rFonts w:ascii="Bankinter Sans" w:hAnsi="Bankinter Sans" w:cs="Arial"/>
          <w:sz w:val="20"/>
          <w:szCs w:val="20"/>
        </w:rPr>
        <w:t>A pesar del descenso, se mantiene números muy superiores a los años previos a 2021.</w:t>
      </w:r>
    </w:p>
    <w:p w14:paraId="5B3E9025" w14:textId="1ACF17A5" w:rsidR="0052343B" w:rsidRPr="00E8621D" w:rsidRDefault="00E8621D" w:rsidP="00E8621D">
      <w:pPr>
        <w:pStyle w:val="paragraph"/>
        <w:numPr>
          <w:ilvl w:val="0"/>
          <w:numId w:val="3"/>
        </w:numPr>
        <w:rPr>
          <w:rStyle w:val="normaltextrun"/>
          <w:rFonts w:ascii="Bankinter Sans" w:hAnsi="Bankinter Sans" w:cs="Arial"/>
          <w:sz w:val="20"/>
          <w:szCs w:val="20"/>
        </w:rPr>
      </w:pPr>
      <w:r>
        <w:rPr>
          <w:rStyle w:val="normaltextrun"/>
          <w:rFonts w:ascii="Bankinter Sans" w:hAnsi="Bankinter Sans" w:cs="Arial"/>
          <w:sz w:val="20"/>
          <w:szCs w:val="20"/>
        </w:rPr>
        <w:t>Las inversiones con fondos extranjeros caen un 40% en 2022, las rondas mixtas se mantienen</w:t>
      </w:r>
      <w:r w:rsidR="00522DE5">
        <w:rPr>
          <w:rStyle w:val="normaltextrun"/>
          <w:rFonts w:ascii="Bankinter Sans" w:hAnsi="Bankinter Sans" w:cs="Arial"/>
          <w:sz w:val="20"/>
          <w:szCs w:val="20"/>
        </w:rPr>
        <w:t>.</w:t>
      </w:r>
      <w:r>
        <w:rPr>
          <w:rStyle w:val="normaltextrun"/>
          <w:rFonts w:ascii="Bankinter Sans" w:hAnsi="Bankinter Sans" w:cs="Arial"/>
          <w:sz w:val="20"/>
          <w:szCs w:val="20"/>
        </w:rPr>
        <w:t xml:space="preserve"> </w:t>
      </w:r>
      <w:r w:rsidR="005F0FCF">
        <w:rPr>
          <w:rStyle w:val="normaltextrun"/>
          <w:rFonts w:ascii="Bankinter Sans" w:hAnsi="Bankinter Sans" w:cs="Arial"/>
          <w:sz w:val="20"/>
          <w:szCs w:val="20"/>
        </w:rPr>
        <w:t>Ls inversiones locales aumentan en mayor medida.</w:t>
      </w:r>
    </w:p>
    <w:p w14:paraId="0A2CC5D8" w14:textId="70BFE2B7" w:rsidR="0052343B" w:rsidRPr="0052343B" w:rsidRDefault="00E8621D" w:rsidP="0052343B">
      <w:pPr>
        <w:pStyle w:val="Prrafodelista"/>
        <w:numPr>
          <w:ilvl w:val="0"/>
          <w:numId w:val="3"/>
        </w:numPr>
        <w:spacing w:after="0" w:line="240" w:lineRule="auto"/>
        <w:rPr>
          <w:rStyle w:val="normaltextrun"/>
          <w:rFonts w:ascii="Bankinter Sans" w:hAnsi="Bankinter Sans" w:cs="Arial"/>
          <w:color w:val="000000"/>
          <w:sz w:val="20"/>
          <w:szCs w:val="20"/>
        </w:rPr>
      </w:pPr>
      <w:r>
        <w:rPr>
          <w:rStyle w:val="normaltextrun"/>
          <w:rFonts w:ascii="Bankinter Sans" w:hAnsi="Bankinter Sans" w:cs="Arial"/>
          <w:sz w:val="20"/>
          <w:szCs w:val="20"/>
        </w:rPr>
        <w:t xml:space="preserve">Se han producido 13 </w:t>
      </w:r>
      <w:r w:rsidR="00D6478B">
        <w:rPr>
          <w:rStyle w:val="normaltextrun"/>
          <w:rFonts w:ascii="Bankinter Sans" w:hAnsi="Bankinter Sans" w:cs="Arial"/>
          <w:sz w:val="20"/>
          <w:szCs w:val="20"/>
        </w:rPr>
        <w:t>‘</w:t>
      </w:r>
      <w:r>
        <w:rPr>
          <w:rStyle w:val="normaltextrun"/>
          <w:rFonts w:ascii="Bankinter Sans" w:hAnsi="Bankinter Sans" w:cs="Arial"/>
          <w:sz w:val="20"/>
          <w:szCs w:val="20"/>
        </w:rPr>
        <w:t>exits</w:t>
      </w:r>
      <w:r w:rsidR="00D6478B">
        <w:rPr>
          <w:rStyle w:val="normaltextrun"/>
          <w:rFonts w:ascii="Bankinter Sans" w:hAnsi="Bankinter Sans" w:cs="Arial"/>
          <w:sz w:val="20"/>
          <w:szCs w:val="20"/>
        </w:rPr>
        <w:t>’</w:t>
      </w:r>
      <w:r>
        <w:rPr>
          <w:rStyle w:val="normaltextrun"/>
          <w:rFonts w:ascii="Bankinter Sans" w:hAnsi="Bankinter Sans" w:cs="Arial"/>
          <w:sz w:val="20"/>
          <w:szCs w:val="20"/>
        </w:rPr>
        <w:t xml:space="preserve"> más que en 2022, pero por un valor total un 6</w:t>
      </w:r>
      <w:r w:rsidR="005C007A">
        <w:rPr>
          <w:rStyle w:val="normaltextrun"/>
          <w:rFonts w:ascii="Bankinter Sans" w:hAnsi="Bankinter Sans" w:cs="Arial"/>
          <w:sz w:val="20"/>
          <w:szCs w:val="20"/>
        </w:rPr>
        <w:t>4</w:t>
      </w:r>
      <w:r>
        <w:rPr>
          <w:rStyle w:val="normaltextrun"/>
          <w:rFonts w:ascii="Bankinter Sans" w:hAnsi="Bankinter Sans" w:cs="Arial"/>
          <w:sz w:val="20"/>
          <w:szCs w:val="20"/>
        </w:rPr>
        <w:t xml:space="preserve">% menor. </w:t>
      </w:r>
    </w:p>
    <w:p w14:paraId="3BCCF08C" w14:textId="77777777" w:rsidR="0052343B" w:rsidRPr="0052343B" w:rsidRDefault="0052343B" w:rsidP="007F6067">
      <w:pPr>
        <w:rPr>
          <w:rFonts w:ascii="Bankinter Sans" w:hAnsi="Bankinter Sans"/>
          <w:sz w:val="20"/>
          <w:szCs w:val="20"/>
        </w:rPr>
      </w:pPr>
    </w:p>
    <w:p w14:paraId="16BA230B" w14:textId="5B84CB94" w:rsidR="003A67A1" w:rsidRDefault="0052343B" w:rsidP="007F6067">
      <w:pPr>
        <w:rPr>
          <w:rFonts w:ascii="Bankinter Sans" w:hAnsi="Bankinter Sans"/>
          <w:sz w:val="20"/>
          <w:szCs w:val="20"/>
          <w:lang w:val="es-ES_tradnl"/>
        </w:rPr>
      </w:pPr>
      <w:r w:rsidRPr="0052343B">
        <w:rPr>
          <w:rFonts w:ascii="Bankinter Sans" w:hAnsi="Bankinter Sans"/>
          <w:b/>
          <w:bCs/>
          <w:sz w:val="20"/>
          <w:szCs w:val="20"/>
          <w:lang w:val="es-ES_tradnl"/>
        </w:rPr>
        <w:t>Madrid</w:t>
      </w:r>
      <w:r w:rsidR="00286B81">
        <w:rPr>
          <w:rFonts w:ascii="Bankinter Sans" w:hAnsi="Bankinter Sans"/>
          <w:b/>
          <w:bCs/>
          <w:sz w:val="20"/>
          <w:szCs w:val="20"/>
          <w:lang w:val="es-ES_tradnl"/>
        </w:rPr>
        <w:t>,</w:t>
      </w:r>
      <w:r w:rsidRPr="0052343B">
        <w:rPr>
          <w:rFonts w:ascii="Bankinter Sans" w:hAnsi="Bankinter Sans"/>
          <w:b/>
          <w:bCs/>
          <w:sz w:val="20"/>
          <w:szCs w:val="20"/>
          <w:lang w:val="es-ES_tradnl"/>
        </w:rPr>
        <w:t xml:space="preserve"> </w:t>
      </w:r>
      <w:r w:rsidR="00286B81">
        <w:rPr>
          <w:rFonts w:ascii="Bankinter Sans" w:hAnsi="Bankinter Sans"/>
          <w:b/>
          <w:bCs/>
          <w:sz w:val="20"/>
          <w:szCs w:val="20"/>
          <w:lang w:val="es-ES_tradnl"/>
        </w:rPr>
        <w:t>2</w:t>
      </w:r>
      <w:r w:rsidRPr="0052343B">
        <w:rPr>
          <w:rFonts w:ascii="Bankinter Sans" w:hAnsi="Bankinter Sans"/>
          <w:b/>
          <w:bCs/>
          <w:sz w:val="20"/>
          <w:szCs w:val="20"/>
          <w:lang w:val="es-ES_tradnl"/>
        </w:rPr>
        <w:t xml:space="preserve"> de </w:t>
      </w:r>
      <w:r w:rsidR="00286B81">
        <w:rPr>
          <w:rFonts w:ascii="Bankinter Sans" w:hAnsi="Bankinter Sans"/>
          <w:b/>
          <w:bCs/>
          <w:sz w:val="20"/>
          <w:szCs w:val="20"/>
          <w:lang w:val="es-ES_tradnl"/>
        </w:rPr>
        <w:t>febrero</w:t>
      </w:r>
      <w:r w:rsidRPr="0052343B">
        <w:rPr>
          <w:rFonts w:ascii="Bankinter Sans" w:hAnsi="Bankinter Sans"/>
          <w:b/>
          <w:bCs/>
          <w:sz w:val="20"/>
          <w:szCs w:val="20"/>
          <w:lang w:val="es-ES_tradnl"/>
        </w:rPr>
        <w:t xml:space="preserve"> de 202</w:t>
      </w:r>
      <w:r w:rsidR="00286B81">
        <w:rPr>
          <w:rFonts w:ascii="Bankinter Sans" w:hAnsi="Bankinter Sans"/>
          <w:b/>
          <w:bCs/>
          <w:sz w:val="20"/>
          <w:szCs w:val="20"/>
          <w:lang w:val="es-ES_tradnl"/>
        </w:rPr>
        <w:t>3</w:t>
      </w:r>
      <w:r w:rsidRPr="0052343B">
        <w:rPr>
          <w:rFonts w:ascii="Bankinter Sans" w:hAnsi="Bankinter Sans"/>
          <w:b/>
          <w:bCs/>
          <w:sz w:val="20"/>
          <w:szCs w:val="20"/>
          <w:lang w:val="es-ES_tradnl"/>
        </w:rPr>
        <w:t>.</w:t>
      </w:r>
      <w:r>
        <w:rPr>
          <w:rFonts w:ascii="Bankinter Sans" w:hAnsi="Bankinter Sans"/>
          <w:sz w:val="20"/>
          <w:szCs w:val="20"/>
          <w:lang w:val="es-ES_tradnl"/>
        </w:rPr>
        <w:t xml:space="preserve"> </w:t>
      </w:r>
      <w:r w:rsidR="003A67A1">
        <w:rPr>
          <w:rFonts w:ascii="Bankinter Sans" w:hAnsi="Bankinter Sans"/>
          <w:sz w:val="20"/>
          <w:szCs w:val="20"/>
          <w:lang w:val="es-ES_tradnl"/>
        </w:rPr>
        <w:t xml:space="preserve">El 2022 ha sido un año </w:t>
      </w:r>
      <w:r w:rsidR="00D902B0">
        <w:rPr>
          <w:rFonts w:ascii="Bankinter Sans" w:hAnsi="Bankinter Sans"/>
          <w:sz w:val="20"/>
          <w:szCs w:val="20"/>
          <w:lang w:val="es-ES_tradnl"/>
        </w:rPr>
        <w:t xml:space="preserve">de </w:t>
      </w:r>
      <w:r w:rsidR="003A67A1">
        <w:rPr>
          <w:rFonts w:ascii="Bankinter Sans" w:hAnsi="Bankinter Sans"/>
          <w:sz w:val="20"/>
          <w:szCs w:val="20"/>
          <w:lang w:val="es-ES_tradnl"/>
        </w:rPr>
        <w:t>enfriamiento de la inversión</w:t>
      </w:r>
      <w:r w:rsidR="00D902B0">
        <w:rPr>
          <w:rFonts w:ascii="Bankinter Sans" w:hAnsi="Bankinter Sans"/>
          <w:sz w:val="20"/>
          <w:szCs w:val="20"/>
          <w:lang w:val="es-ES_tradnl"/>
        </w:rPr>
        <w:t xml:space="preserve"> en startups en España</w:t>
      </w:r>
      <w:r w:rsidR="003A67A1">
        <w:rPr>
          <w:rFonts w:ascii="Bankinter Sans" w:hAnsi="Bankinter Sans"/>
          <w:sz w:val="20"/>
          <w:szCs w:val="20"/>
          <w:lang w:val="es-ES_tradnl"/>
        </w:rPr>
        <w:t xml:space="preserve"> respecto a 2021, que fue un </w:t>
      </w:r>
      <w:r w:rsidR="00D6478B">
        <w:rPr>
          <w:rFonts w:ascii="Bankinter Sans" w:hAnsi="Bankinter Sans"/>
          <w:sz w:val="20"/>
          <w:szCs w:val="20"/>
          <w:lang w:val="es-ES_tradnl"/>
        </w:rPr>
        <w:t xml:space="preserve">ejercicio </w:t>
      </w:r>
      <w:r w:rsidR="003A67A1">
        <w:rPr>
          <w:rFonts w:ascii="Bankinter Sans" w:hAnsi="Bankinter Sans"/>
          <w:sz w:val="20"/>
          <w:szCs w:val="20"/>
          <w:lang w:val="es-ES_tradnl"/>
        </w:rPr>
        <w:t xml:space="preserve">de récord en el sector. </w:t>
      </w:r>
      <w:r w:rsidR="00D902B0">
        <w:rPr>
          <w:rFonts w:ascii="Bankinter Sans" w:hAnsi="Bankinter Sans"/>
          <w:sz w:val="20"/>
          <w:szCs w:val="20"/>
          <w:lang w:val="es-ES_tradnl"/>
        </w:rPr>
        <w:t xml:space="preserve">Sin embargo, es destacable que </w:t>
      </w:r>
      <w:r w:rsidR="003A67A1">
        <w:rPr>
          <w:rFonts w:ascii="Bankinter Sans" w:hAnsi="Bankinter Sans"/>
          <w:sz w:val="20"/>
          <w:szCs w:val="20"/>
          <w:lang w:val="es-ES_tradnl"/>
        </w:rPr>
        <w:t>en 2022 se hayan superado los resultados de 2020 y</w:t>
      </w:r>
      <w:r w:rsidR="00D902B0">
        <w:rPr>
          <w:rFonts w:ascii="Bankinter Sans" w:hAnsi="Bankinter Sans"/>
          <w:sz w:val="20"/>
          <w:szCs w:val="20"/>
          <w:lang w:val="es-ES_tradnl"/>
        </w:rPr>
        <w:t xml:space="preserve"> de años</w:t>
      </w:r>
      <w:r w:rsidR="003A67A1">
        <w:rPr>
          <w:rFonts w:ascii="Bankinter Sans" w:hAnsi="Bankinter Sans"/>
          <w:sz w:val="20"/>
          <w:szCs w:val="20"/>
          <w:lang w:val="es-ES_tradnl"/>
        </w:rPr>
        <w:t xml:space="preserve"> </w:t>
      </w:r>
      <w:r w:rsidR="005F0FCF">
        <w:rPr>
          <w:rFonts w:ascii="Bankinter Sans" w:hAnsi="Bankinter Sans"/>
          <w:sz w:val="20"/>
          <w:szCs w:val="20"/>
          <w:lang w:val="es-ES_tradnl"/>
        </w:rPr>
        <w:t>anteriores.</w:t>
      </w:r>
      <w:r w:rsidR="003A67A1">
        <w:rPr>
          <w:rFonts w:ascii="Bankinter Sans" w:hAnsi="Bankinter Sans"/>
          <w:sz w:val="20"/>
          <w:szCs w:val="20"/>
          <w:lang w:val="es-ES_tradnl"/>
        </w:rPr>
        <w:t xml:space="preserve"> </w:t>
      </w:r>
    </w:p>
    <w:p w14:paraId="24F40D40" w14:textId="6F2DBC52" w:rsidR="003A67A1" w:rsidRDefault="003A67A1" w:rsidP="007F6067">
      <w:pPr>
        <w:rPr>
          <w:rFonts w:ascii="Bankinter Sans" w:hAnsi="Bankinter Sans"/>
          <w:sz w:val="20"/>
          <w:szCs w:val="20"/>
          <w:lang w:val="es-ES_tradnl"/>
        </w:rPr>
      </w:pPr>
      <w:r>
        <w:rPr>
          <w:rFonts w:ascii="Bankinter Sans" w:hAnsi="Bankinter Sans"/>
          <w:sz w:val="20"/>
          <w:szCs w:val="20"/>
          <w:lang w:val="es-ES_tradnl"/>
        </w:rPr>
        <w:t xml:space="preserve">Los dos hechos fundamentales que explican este comportamiento son, por una parte la existencia de </w:t>
      </w:r>
      <w:r w:rsidRPr="003A67A1">
        <w:rPr>
          <w:rFonts w:ascii="Bankinter Sans" w:hAnsi="Bankinter Sans"/>
          <w:sz w:val="20"/>
          <w:szCs w:val="20"/>
          <w:lang w:val="es-ES_tradnl"/>
        </w:rPr>
        <w:t xml:space="preserve">muchos fondos creados en los últimos años </w:t>
      </w:r>
      <w:r>
        <w:rPr>
          <w:rFonts w:ascii="Bankinter Sans" w:hAnsi="Bankinter Sans"/>
          <w:sz w:val="20"/>
          <w:szCs w:val="20"/>
          <w:lang w:val="es-ES_tradnl"/>
        </w:rPr>
        <w:t>cuya</w:t>
      </w:r>
      <w:r w:rsidRPr="003A67A1">
        <w:rPr>
          <w:rFonts w:ascii="Bankinter Sans" w:hAnsi="Bankinter Sans"/>
          <w:sz w:val="20"/>
          <w:szCs w:val="20"/>
          <w:lang w:val="es-ES_tradnl"/>
        </w:rPr>
        <w:t xml:space="preserve"> inversión aún </w:t>
      </w:r>
      <w:r>
        <w:rPr>
          <w:rFonts w:ascii="Bankinter Sans" w:hAnsi="Bankinter Sans"/>
          <w:sz w:val="20"/>
          <w:szCs w:val="20"/>
          <w:lang w:val="es-ES_tradnl"/>
        </w:rPr>
        <w:t xml:space="preserve">está </w:t>
      </w:r>
      <w:r w:rsidRPr="003A67A1">
        <w:rPr>
          <w:rFonts w:ascii="Bankinter Sans" w:hAnsi="Bankinter Sans"/>
          <w:sz w:val="20"/>
          <w:szCs w:val="20"/>
          <w:lang w:val="es-ES_tradnl"/>
        </w:rPr>
        <w:t>por desplegar</w:t>
      </w:r>
      <w:r w:rsidR="00D6478B">
        <w:rPr>
          <w:rFonts w:ascii="Bankinter Sans" w:hAnsi="Bankinter Sans"/>
          <w:sz w:val="20"/>
          <w:szCs w:val="20"/>
          <w:lang w:val="es-ES_tradnl"/>
        </w:rPr>
        <w:t>se</w:t>
      </w:r>
      <w:r>
        <w:rPr>
          <w:rFonts w:ascii="Bankinter Sans" w:hAnsi="Bankinter Sans"/>
          <w:sz w:val="20"/>
          <w:szCs w:val="20"/>
          <w:lang w:val="es-ES_tradnl"/>
        </w:rPr>
        <w:t xml:space="preserve"> y, por otra, el cambio de paradigma que se ha vivido en el ecosistema desde la pandemia, por el cual las startups han reducido su </w:t>
      </w:r>
      <w:r w:rsidRPr="003A67A1">
        <w:rPr>
          <w:rFonts w:ascii="Bankinter Sans" w:hAnsi="Bankinter Sans"/>
          <w:i/>
          <w:iCs/>
          <w:sz w:val="20"/>
          <w:szCs w:val="20"/>
        </w:rPr>
        <w:t>burn rate</w:t>
      </w:r>
      <w:r w:rsidRPr="003A67A1">
        <w:rPr>
          <w:rFonts w:ascii="Bankinter Sans" w:hAnsi="Bankinter Sans"/>
          <w:sz w:val="20"/>
          <w:szCs w:val="20"/>
        </w:rPr>
        <w:t xml:space="preserve"> (</w:t>
      </w:r>
      <w:r w:rsidR="005C007A">
        <w:rPr>
          <w:rFonts w:ascii="Bankinter Sans" w:hAnsi="Bankinter Sans"/>
          <w:sz w:val="20"/>
          <w:szCs w:val="20"/>
        </w:rPr>
        <w:t xml:space="preserve">la </w:t>
      </w:r>
      <w:r w:rsidR="005C007A" w:rsidRPr="003A67A1">
        <w:rPr>
          <w:rFonts w:ascii="Bankinter Sans" w:hAnsi="Bankinter Sans"/>
          <w:sz w:val="20"/>
          <w:szCs w:val="20"/>
        </w:rPr>
        <w:t>velocidad</w:t>
      </w:r>
      <w:r w:rsidRPr="003A67A1">
        <w:rPr>
          <w:rFonts w:ascii="Bankinter Sans" w:hAnsi="Bankinter Sans"/>
          <w:sz w:val="20"/>
          <w:szCs w:val="20"/>
        </w:rPr>
        <w:t xml:space="preserve"> </w:t>
      </w:r>
      <w:r w:rsidR="00D6478B">
        <w:rPr>
          <w:rFonts w:ascii="Bankinter Sans" w:hAnsi="Bankinter Sans"/>
          <w:sz w:val="20"/>
          <w:szCs w:val="20"/>
        </w:rPr>
        <w:t xml:space="preserve">a la que </w:t>
      </w:r>
      <w:r w:rsidRPr="003A67A1">
        <w:rPr>
          <w:rFonts w:ascii="Bankinter Sans" w:hAnsi="Bankinter Sans"/>
          <w:sz w:val="20"/>
          <w:szCs w:val="20"/>
        </w:rPr>
        <w:t xml:space="preserve">gasta dinero una startup) y aumentado </w:t>
      </w:r>
      <w:r>
        <w:rPr>
          <w:rFonts w:ascii="Bankinter Sans" w:hAnsi="Bankinter Sans"/>
          <w:sz w:val="20"/>
          <w:szCs w:val="20"/>
        </w:rPr>
        <w:t>en consecuencia</w:t>
      </w:r>
      <w:r w:rsidRPr="003A67A1">
        <w:rPr>
          <w:rFonts w:ascii="Bankinter Sans" w:hAnsi="Bankinter Sans"/>
          <w:sz w:val="20"/>
          <w:szCs w:val="20"/>
        </w:rPr>
        <w:t xml:space="preserve"> su </w:t>
      </w:r>
      <w:r w:rsidRPr="003A67A1">
        <w:rPr>
          <w:rFonts w:ascii="Bankinter Sans" w:hAnsi="Bankinter Sans"/>
          <w:i/>
          <w:iCs/>
          <w:sz w:val="20"/>
          <w:szCs w:val="20"/>
        </w:rPr>
        <w:t>runway</w:t>
      </w:r>
      <w:r w:rsidRPr="003A67A1">
        <w:rPr>
          <w:rFonts w:ascii="Bankinter Sans" w:hAnsi="Bankinter Sans"/>
          <w:sz w:val="20"/>
          <w:szCs w:val="20"/>
        </w:rPr>
        <w:t xml:space="preserve"> (cuánto </w:t>
      </w:r>
      <w:r w:rsidR="00D6478B">
        <w:rPr>
          <w:rFonts w:ascii="Bankinter Sans" w:hAnsi="Bankinter Sans"/>
          <w:sz w:val="20"/>
          <w:szCs w:val="20"/>
        </w:rPr>
        <w:t>dura la caja a</w:t>
      </w:r>
      <w:r w:rsidRPr="003A67A1">
        <w:rPr>
          <w:rFonts w:ascii="Bankinter Sans" w:hAnsi="Bankinter Sans"/>
          <w:sz w:val="20"/>
          <w:szCs w:val="20"/>
        </w:rPr>
        <w:t xml:space="preserve">la startup de caja gastando al ritmo del </w:t>
      </w:r>
      <w:r w:rsidRPr="005F0FCF">
        <w:rPr>
          <w:rFonts w:ascii="Bankinter Sans" w:hAnsi="Bankinter Sans"/>
          <w:i/>
          <w:iCs/>
          <w:sz w:val="20"/>
          <w:szCs w:val="20"/>
        </w:rPr>
        <w:t>burn rate</w:t>
      </w:r>
      <w:r w:rsidRPr="003A67A1">
        <w:rPr>
          <w:rFonts w:ascii="Bankinter Sans" w:hAnsi="Bankinter Sans"/>
          <w:sz w:val="20"/>
          <w:szCs w:val="20"/>
        </w:rPr>
        <w:t>).</w:t>
      </w:r>
    </w:p>
    <w:p w14:paraId="7AA4DACB" w14:textId="1082DA04" w:rsidR="003A67A1" w:rsidRDefault="003A67A1" w:rsidP="002B4B08">
      <w:pPr>
        <w:rPr>
          <w:rFonts w:ascii="Bankinter Sans" w:hAnsi="Bankinter Sans"/>
          <w:sz w:val="20"/>
          <w:szCs w:val="20"/>
        </w:rPr>
      </w:pPr>
      <w:r>
        <w:rPr>
          <w:rFonts w:ascii="Bankinter Sans" w:hAnsi="Bankinter Sans"/>
          <w:sz w:val="20"/>
          <w:szCs w:val="20"/>
          <w:lang w:val="es-ES_tradnl"/>
        </w:rPr>
        <w:t xml:space="preserve">El </w:t>
      </w:r>
      <w:r w:rsidR="007F6067" w:rsidRPr="0052343B">
        <w:rPr>
          <w:rFonts w:ascii="Bankinter Sans" w:hAnsi="Bankinter Sans"/>
          <w:sz w:val="20"/>
          <w:szCs w:val="20"/>
        </w:rPr>
        <w:t>informe de Tendencias de Inversión de</w:t>
      </w:r>
      <w:r>
        <w:rPr>
          <w:rFonts w:ascii="Bankinter Sans" w:hAnsi="Bankinter Sans"/>
          <w:sz w:val="20"/>
          <w:szCs w:val="20"/>
        </w:rPr>
        <w:t xml:space="preserve"> 2022 </w:t>
      </w:r>
      <w:r w:rsidR="00D902B0">
        <w:rPr>
          <w:rFonts w:ascii="Bankinter Sans" w:hAnsi="Bankinter Sans"/>
          <w:sz w:val="20"/>
          <w:szCs w:val="20"/>
        </w:rPr>
        <w:t xml:space="preserve">arroja </w:t>
      </w:r>
      <w:r>
        <w:rPr>
          <w:rFonts w:ascii="Bankinter Sans" w:hAnsi="Bankinter Sans"/>
          <w:sz w:val="20"/>
          <w:szCs w:val="20"/>
        </w:rPr>
        <w:t xml:space="preserve">las siguientes conclusiones: </w:t>
      </w:r>
    </w:p>
    <w:p w14:paraId="119C2C11" w14:textId="1F050D42" w:rsidR="003A67A1" w:rsidRPr="00693EEB" w:rsidRDefault="003A67A1" w:rsidP="00693EEB">
      <w:pPr>
        <w:pStyle w:val="Prrafodelista"/>
        <w:numPr>
          <w:ilvl w:val="0"/>
          <w:numId w:val="4"/>
        </w:numPr>
        <w:rPr>
          <w:rFonts w:ascii="Bankinter Sans" w:hAnsi="Bankinter Sans"/>
          <w:sz w:val="20"/>
          <w:szCs w:val="20"/>
        </w:rPr>
      </w:pPr>
      <w:r w:rsidRPr="00693EEB">
        <w:rPr>
          <w:rFonts w:ascii="Bankinter Sans" w:hAnsi="Bankinter Sans"/>
          <w:sz w:val="20"/>
          <w:szCs w:val="20"/>
        </w:rPr>
        <w:t>La inversión total desciende un 20% respecto a 2021 (3.500M€</w:t>
      </w:r>
      <w:r w:rsidR="00693EEB" w:rsidRPr="00693EEB">
        <w:rPr>
          <w:rFonts w:ascii="Bankinter Sans" w:hAnsi="Bankinter Sans"/>
          <w:sz w:val="20"/>
          <w:szCs w:val="20"/>
        </w:rPr>
        <w:t xml:space="preserve"> frente a 4.300M€)</w:t>
      </w:r>
      <w:r w:rsidRPr="00693EEB">
        <w:rPr>
          <w:rFonts w:ascii="Bankinter Sans" w:hAnsi="Bankinter Sans"/>
          <w:sz w:val="20"/>
          <w:szCs w:val="20"/>
        </w:rPr>
        <w:t>, aunque aumenta ligeramente el número de operaciones</w:t>
      </w:r>
      <w:r w:rsidR="00693EEB" w:rsidRPr="00693EEB">
        <w:rPr>
          <w:rFonts w:ascii="Bankinter Sans" w:hAnsi="Bankinter Sans"/>
          <w:sz w:val="20"/>
          <w:szCs w:val="20"/>
        </w:rPr>
        <w:t xml:space="preserve"> (se pasa de 413 a 424)</w:t>
      </w:r>
      <w:r w:rsidRPr="00693EEB">
        <w:rPr>
          <w:rFonts w:ascii="Bankinter Sans" w:hAnsi="Bankinter Sans"/>
          <w:sz w:val="20"/>
          <w:szCs w:val="20"/>
        </w:rPr>
        <w:t>.</w:t>
      </w:r>
      <w:r w:rsidR="00693EEB" w:rsidRPr="00693EEB">
        <w:rPr>
          <w:rFonts w:ascii="Bankinter Sans" w:hAnsi="Bankinter Sans"/>
          <w:sz w:val="20"/>
          <w:szCs w:val="20"/>
        </w:rPr>
        <w:t xml:space="preserve"> </w:t>
      </w:r>
      <w:r w:rsidR="005F0FCF" w:rsidRPr="00693EEB">
        <w:rPr>
          <w:rFonts w:ascii="Bankinter Sans" w:hAnsi="Bankinter Sans"/>
          <w:sz w:val="20"/>
          <w:szCs w:val="20"/>
        </w:rPr>
        <w:t>El tamaño</w:t>
      </w:r>
      <w:r w:rsidR="00693EEB" w:rsidRPr="00693EEB">
        <w:rPr>
          <w:rFonts w:ascii="Bankinter Sans" w:hAnsi="Bankinter Sans"/>
          <w:sz w:val="20"/>
          <w:szCs w:val="20"/>
        </w:rPr>
        <w:t xml:space="preserve"> medio de las rondas </w:t>
      </w:r>
      <w:r w:rsidR="00476E4C">
        <w:rPr>
          <w:rFonts w:ascii="Bankinter Sans" w:hAnsi="Bankinter Sans"/>
          <w:sz w:val="20"/>
          <w:szCs w:val="20"/>
        </w:rPr>
        <w:t>ha desc</w:t>
      </w:r>
      <w:r w:rsidR="006B18CD">
        <w:rPr>
          <w:rFonts w:ascii="Bankinter Sans" w:hAnsi="Bankinter Sans"/>
          <w:sz w:val="20"/>
          <w:szCs w:val="20"/>
        </w:rPr>
        <w:t>endido</w:t>
      </w:r>
      <w:r w:rsidR="00476E4C">
        <w:rPr>
          <w:rFonts w:ascii="Bankinter Sans" w:hAnsi="Bankinter Sans"/>
          <w:sz w:val="20"/>
          <w:szCs w:val="20"/>
        </w:rPr>
        <w:t xml:space="preserve"> un 22%, de 10,5M€ en 2021 a 8,1M€ en 2022. </w:t>
      </w:r>
    </w:p>
    <w:p w14:paraId="42E4BE7F" w14:textId="3EA700A8" w:rsidR="00693EEB" w:rsidRDefault="00693EEB" w:rsidP="00693EEB">
      <w:pPr>
        <w:pStyle w:val="Prrafodelista"/>
        <w:numPr>
          <w:ilvl w:val="0"/>
          <w:numId w:val="4"/>
        </w:numPr>
        <w:rPr>
          <w:rFonts w:ascii="Bankinter Sans" w:hAnsi="Bankinter Sans"/>
          <w:sz w:val="20"/>
          <w:szCs w:val="20"/>
        </w:rPr>
      </w:pPr>
      <w:r>
        <w:rPr>
          <w:rFonts w:ascii="Bankinter Sans" w:hAnsi="Bankinter Sans"/>
          <w:sz w:val="20"/>
          <w:szCs w:val="20"/>
        </w:rPr>
        <w:t>En la inversión por fases, s</w:t>
      </w:r>
      <w:r w:rsidRPr="00693EEB">
        <w:rPr>
          <w:rFonts w:ascii="Bankinter Sans" w:hAnsi="Bankinter Sans"/>
          <w:sz w:val="20"/>
          <w:szCs w:val="20"/>
        </w:rPr>
        <w:t>e ha producido un incremento relevante en Serie C (665M€ frente a los 477M€ en 2021)</w:t>
      </w:r>
      <w:r>
        <w:rPr>
          <w:rFonts w:ascii="Bankinter Sans" w:hAnsi="Bankinter Sans"/>
          <w:sz w:val="20"/>
          <w:szCs w:val="20"/>
        </w:rPr>
        <w:t xml:space="preserve">, y un aumento menor en las series más tempranas, de </w:t>
      </w:r>
      <w:r w:rsidRPr="00693EEB">
        <w:rPr>
          <w:rFonts w:ascii="Bankinter Sans" w:hAnsi="Bankinter Sans"/>
          <w:sz w:val="20"/>
          <w:szCs w:val="20"/>
        </w:rPr>
        <w:t>Pre Seed a Serie A</w:t>
      </w:r>
      <w:r>
        <w:rPr>
          <w:rFonts w:ascii="Bankinter Sans" w:hAnsi="Bankinter Sans"/>
          <w:sz w:val="20"/>
          <w:szCs w:val="20"/>
        </w:rPr>
        <w:t xml:space="preserve">. Caen en mayor medida las </w:t>
      </w:r>
      <w:r w:rsidRPr="00693EEB">
        <w:rPr>
          <w:rFonts w:ascii="Bankinter Sans" w:hAnsi="Bankinter Sans"/>
          <w:sz w:val="20"/>
          <w:szCs w:val="20"/>
        </w:rPr>
        <w:t>Ser</w:t>
      </w:r>
      <w:r>
        <w:rPr>
          <w:rFonts w:ascii="Bankinter Sans" w:hAnsi="Bankinter Sans"/>
          <w:sz w:val="20"/>
          <w:szCs w:val="20"/>
        </w:rPr>
        <w:t>i</w:t>
      </w:r>
      <w:r w:rsidRPr="00693EEB">
        <w:rPr>
          <w:rFonts w:ascii="Bankinter Sans" w:hAnsi="Bankinter Sans"/>
          <w:sz w:val="20"/>
          <w:szCs w:val="20"/>
        </w:rPr>
        <w:t>e</w:t>
      </w:r>
      <w:r>
        <w:rPr>
          <w:rFonts w:ascii="Bankinter Sans" w:hAnsi="Bankinter Sans"/>
          <w:sz w:val="20"/>
          <w:szCs w:val="20"/>
        </w:rPr>
        <w:t>s</w:t>
      </w:r>
      <w:r w:rsidRPr="00693EEB">
        <w:rPr>
          <w:rFonts w:ascii="Bankinter Sans" w:hAnsi="Bankinter Sans"/>
          <w:sz w:val="20"/>
          <w:szCs w:val="20"/>
        </w:rPr>
        <w:t xml:space="preserve"> Growth</w:t>
      </w:r>
      <w:r>
        <w:rPr>
          <w:rFonts w:ascii="Bankinter Sans" w:hAnsi="Bankinter Sans"/>
          <w:sz w:val="20"/>
          <w:szCs w:val="20"/>
        </w:rPr>
        <w:t xml:space="preserve">, </w:t>
      </w:r>
      <w:r w:rsidRPr="00693EEB">
        <w:rPr>
          <w:rFonts w:ascii="Bankinter Sans" w:hAnsi="Bankinter Sans"/>
          <w:sz w:val="20"/>
          <w:szCs w:val="20"/>
        </w:rPr>
        <w:t>con alrededor de 1.000M€ menos de inversión, desde los 2.974M€ de 2021 a los 1.957M€ de 2022</w:t>
      </w:r>
      <w:r>
        <w:rPr>
          <w:rFonts w:ascii="Bankinter Sans" w:hAnsi="Bankinter Sans"/>
          <w:sz w:val="20"/>
          <w:szCs w:val="20"/>
        </w:rPr>
        <w:t xml:space="preserve">, y ligeramente las Series B. </w:t>
      </w:r>
    </w:p>
    <w:p w14:paraId="49A6928C" w14:textId="3BAC0486" w:rsidR="00693EEB" w:rsidRDefault="00693EEB" w:rsidP="00693EEB">
      <w:pPr>
        <w:pStyle w:val="Prrafodelista"/>
        <w:numPr>
          <w:ilvl w:val="0"/>
          <w:numId w:val="4"/>
        </w:numPr>
        <w:rPr>
          <w:rFonts w:ascii="Bankinter Sans" w:hAnsi="Bankinter Sans"/>
          <w:sz w:val="20"/>
          <w:szCs w:val="20"/>
        </w:rPr>
      </w:pPr>
      <w:r w:rsidRPr="00693EEB">
        <w:rPr>
          <w:rFonts w:ascii="Bankinter Sans" w:hAnsi="Bankinter Sans"/>
          <w:sz w:val="20"/>
          <w:szCs w:val="20"/>
        </w:rPr>
        <w:t>Se incrementa la inversión desde fondos Corporate</w:t>
      </w:r>
      <w:r>
        <w:rPr>
          <w:rFonts w:ascii="Bankinter Sans" w:hAnsi="Bankinter Sans"/>
          <w:sz w:val="20"/>
          <w:szCs w:val="20"/>
        </w:rPr>
        <w:t xml:space="preserve"> (</w:t>
      </w:r>
      <w:r w:rsidRPr="00693EEB">
        <w:rPr>
          <w:rFonts w:ascii="Bankinter Sans" w:hAnsi="Bankinter Sans"/>
          <w:sz w:val="20"/>
          <w:szCs w:val="20"/>
        </w:rPr>
        <w:t>de 247M€ en 2021 a 485M€ en 2022</w:t>
      </w:r>
      <w:r>
        <w:rPr>
          <w:rFonts w:ascii="Bankinter Sans" w:hAnsi="Bankinter Sans"/>
          <w:sz w:val="20"/>
          <w:szCs w:val="20"/>
        </w:rPr>
        <w:t>)</w:t>
      </w:r>
      <w:r w:rsidRPr="00693EEB">
        <w:rPr>
          <w:rFonts w:ascii="Bankinter Sans" w:hAnsi="Bankinter Sans"/>
          <w:sz w:val="20"/>
          <w:szCs w:val="20"/>
        </w:rPr>
        <w:t xml:space="preserve">, Family Office </w:t>
      </w:r>
      <w:r>
        <w:rPr>
          <w:rFonts w:ascii="Bankinter Sans" w:hAnsi="Bankinter Sans"/>
          <w:sz w:val="20"/>
          <w:szCs w:val="20"/>
        </w:rPr>
        <w:t>(</w:t>
      </w:r>
      <w:r w:rsidRPr="00693EEB">
        <w:rPr>
          <w:rFonts w:ascii="Bankinter Sans" w:hAnsi="Bankinter Sans"/>
          <w:sz w:val="20"/>
          <w:szCs w:val="20"/>
        </w:rPr>
        <w:t>(desde 49M€ en 2021 a 149M€ en 2022) y Business Angels</w:t>
      </w:r>
      <w:r>
        <w:rPr>
          <w:rFonts w:ascii="Bankinter Sans" w:hAnsi="Bankinter Sans"/>
          <w:sz w:val="20"/>
          <w:szCs w:val="20"/>
        </w:rPr>
        <w:t xml:space="preserve"> (</w:t>
      </w:r>
      <w:r w:rsidRPr="00693EEB">
        <w:rPr>
          <w:rFonts w:ascii="Bankinter Sans" w:hAnsi="Bankinter Sans"/>
          <w:sz w:val="20"/>
          <w:szCs w:val="20"/>
        </w:rPr>
        <w:t>de 13M€ en 2021 a 156M€ en 2022</w:t>
      </w:r>
      <w:r>
        <w:rPr>
          <w:rFonts w:ascii="Bankinter Sans" w:hAnsi="Bankinter Sans"/>
          <w:sz w:val="20"/>
          <w:szCs w:val="20"/>
        </w:rPr>
        <w:t>)</w:t>
      </w:r>
      <w:r w:rsidRPr="00693EEB">
        <w:rPr>
          <w:rFonts w:ascii="Bankinter Sans" w:hAnsi="Bankinter Sans"/>
          <w:sz w:val="20"/>
          <w:szCs w:val="20"/>
        </w:rPr>
        <w:t>, mientras disminuye</w:t>
      </w:r>
      <w:r>
        <w:rPr>
          <w:rFonts w:ascii="Bankinter Sans" w:hAnsi="Bankinter Sans"/>
          <w:sz w:val="20"/>
          <w:szCs w:val="20"/>
        </w:rPr>
        <w:t xml:space="preserve"> en menor medida</w:t>
      </w:r>
      <w:r w:rsidRPr="00693EEB">
        <w:rPr>
          <w:rFonts w:ascii="Bankinter Sans" w:hAnsi="Bankinter Sans"/>
          <w:sz w:val="20"/>
          <w:szCs w:val="20"/>
        </w:rPr>
        <w:t xml:space="preserve"> la de fondos VC y, más significativamente, la de Private Equity</w:t>
      </w:r>
      <w:r>
        <w:rPr>
          <w:rFonts w:ascii="Bankinter Sans" w:hAnsi="Bankinter Sans"/>
          <w:sz w:val="20"/>
          <w:szCs w:val="20"/>
        </w:rPr>
        <w:t xml:space="preserve"> (</w:t>
      </w:r>
      <w:r w:rsidRPr="00693EEB">
        <w:rPr>
          <w:rFonts w:ascii="Bankinter Sans" w:hAnsi="Bankinter Sans"/>
          <w:sz w:val="20"/>
          <w:szCs w:val="20"/>
        </w:rPr>
        <w:t xml:space="preserve">de 1.671M€ en 2021 </w:t>
      </w:r>
      <w:r>
        <w:rPr>
          <w:rFonts w:ascii="Bankinter Sans" w:hAnsi="Bankinter Sans"/>
          <w:sz w:val="20"/>
          <w:szCs w:val="20"/>
        </w:rPr>
        <w:t xml:space="preserve">a </w:t>
      </w:r>
      <w:r w:rsidRPr="00693EEB">
        <w:rPr>
          <w:rFonts w:ascii="Bankinter Sans" w:hAnsi="Bankinter Sans"/>
          <w:sz w:val="20"/>
          <w:szCs w:val="20"/>
        </w:rPr>
        <w:t xml:space="preserve"> 622M€ en 2022</w:t>
      </w:r>
      <w:r>
        <w:rPr>
          <w:rFonts w:ascii="Bankinter Sans" w:hAnsi="Bankinter Sans"/>
          <w:sz w:val="20"/>
          <w:szCs w:val="20"/>
        </w:rPr>
        <w:t>).</w:t>
      </w:r>
    </w:p>
    <w:p w14:paraId="51365C26" w14:textId="4F08A34E" w:rsidR="00693EEB" w:rsidRDefault="00693EEB" w:rsidP="00693EEB">
      <w:pPr>
        <w:pStyle w:val="Prrafodelista"/>
        <w:numPr>
          <w:ilvl w:val="0"/>
          <w:numId w:val="4"/>
        </w:numPr>
        <w:rPr>
          <w:rFonts w:ascii="Bankinter Sans" w:hAnsi="Bankinter Sans"/>
          <w:sz w:val="20"/>
          <w:szCs w:val="20"/>
        </w:rPr>
      </w:pPr>
      <w:r>
        <w:rPr>
          <w:rFonts w:ascii="Bankinter Sans" w:hAnsi="Bankinter Sans"/>
          <w:sz w:val="20"/>
          <w:szCs w:val="20"/>
        </w:rPr>
        <w:t>Disminuye la</w:t>
      </w:r>
      <w:r w:rsidRPr="00693EEB">
        <w:rPr>
          <w:rFonts w:ascii="Bankinter Sans" w:hAnsi="Bankinter Sans"/>
          <w:sz w:val="20"/>
          <w:szCs w:val="20"/>
        </w:rPr>
        <w:t xml:space="preserve"> inversión en los cuatro sectores que lideraban en 2021</w:t>
      </w:r>
      <w:r>
        <w:rPr>
          <w:rFonts w:ascii="Bankinter Sans" w:hAnsi="Bankinter Sans"/>
          <w:sz w:val="20"/>
          <w:szCs w:val="20"/>
        </w:rPr>
        <w:t>:</w:t>
      </w:r>
      <w:r w:rsidR="00254BD4">
        <w:rPr>
          <w:rFonts w:ascii="Bankinter Sans" w:hAnsi="Bankinter Sans"/>
          <w:sz w:val="20"/>
          <w:szCs w:val="20"/>
        </w:rPr>
        <w:t xml:space="preserve"> </w:t>
      </w:r>
      <w:r w:rsidR="00254BD4" w:rsidRPr="00254BD4">
        <w:rPr>
          <w:rFonts w:ascii="Bankinter Sans" w:hAnsi="Bankinter Sans"/>
          <w:sz w:val="20"/>
          <w:szCs w:val="20"/>
        </w:rPr>
        <w:t>Business&amp;Productivity</w:t>
      </w:r>
      <w:r w:rsidR="00254BD4">
        <w:rPr>
          <w:rFonts w:ascii="Bankinter Sans" w:hAnsi="Bankinter Sans"/>
          <w:sz w:val="20"/>
          <w:szCs w:val="20"/>
        </w:rPr>
        <w:t xml:space="preserve">, </w:t>
      </w:r>
      <w:r w:rsidR="00254BD4" w:rsidRPr="00254BD4">
        <w:rPr>
          <w:rFonts w:ascii="Bankinter Sans" w:hAnsi="Bankinter Sans"/>
          <w:sz w:val="20"/>
          <w:szCs w:val="20"/>
        </w:rPr>
        <w:t>RealEstate/Proptech</w:t>
      </w:r>
      <w:r w:rsidR="00254BD4">
        <w:rPr>
          <w:rFonts w:ascii="Bankinter Sans" w:hAnsi="Bankinter Sans"/>
          <w:sz w:val="20"/>
          <w:szCs w:val="20"/>
        </w:rPr>
        <w:t xml:space="preserve">, </w:t>
      </w:r>
      <w:r w:rsidR="00254BD4" w:rsidRPr="00254BD4">
        <w:rPr>
          <w:rFonts w:ascii="Bankinter Sans" w:hAnsi="Bankinter Sans"/>
          <w:sz w:val="20"/>
          <w:szCs w:val="20"/>
        </w:rPr>
        <w:t>Mobility/Logistics</w:t>
      </w:r>
      <w:r w:rsidR="00254BD4">
        <w:rPr>
          <w:rFonts w:ascii="Bankinter Sans" w:hAnsi="Bankinter Sans"/>
          <w:sz w:val="20"/>
          <w:szCs w:val="20"/>
        </w:rPr>
        <w:t xml:space="preserve"> y </w:t>
      </w:r>
      <w:r w:rsidR="00254BD4" w:rsidRPr="00254BD4">
        <w:rPr>
          <w:rFonts w:ascii="Bankinter Sans" w:hAnsi="Bankinter Sans"/>
          <w:sz w:val="20"/>
          <w:szCs w:val="20"/>
        </w:rPr>
        <w:t>Fintech/Insurtech</w:t>
      </w:r>
      <w:r w:rsidR="00254BD4">
        <w:rPr>
          <w:rFonts w:ascii="Bankinter Sans" w:hAnsi="Bankinter Sans"/>
          <w:sz w:val="20"/>
          <w:szCs w:val="20"/>
        </w:rPr>
        <w:t xml:space="preserve">, mientras que despuntan </w:t>
      </w:r>
      <w:r w:rsidR="00254BD4" w:rsidRPr="00254BD4">
        <w:rPr>
          <w:rFonts w:ascii="Bankinter Sans" w:hAnsi="Bankinter Sans"/>
          <w:sz w:val="20"/>
          <w:szCs w:val="20"/>
        </w:rPr>
        <w:t>Travel/Tourism</w:t>
      </w:r>
      <w:r w:rsidR="00254BD4">
        <w:rPr>
          <w:rFonts w:ascii="Bankinter Sans" w:hAnsi="Bankinter Sans"/>
          <w:sz w:val="20"/>
          <w:szCs w:val="20"/>
        </w:rPr>
        <w:t xml:space="preserve">, con el triple de inversión y </w:t>
      </w:r>
      <w:r w:rsidR="00254BD4" w:rsidRPr="00254BD4">
        <w:rPr>
          <w:rFonts w:ascii="Bankinter Sans" w:hAnsi="Bankinter Sans"/>
          <w:sz w:val="20"/>
          <w:szCs w:val="20"/>
        </w:rPr>
        <w:t xml:space="preserve">Advertising/Marketing, que </w:t>
      </w:r>
      <w:r w:rsidR="00254BD4">
        <w:rPr>
          <w:rFonts w:ascii="Bankinter Sans" w:hAnsi="Bankinter Sans"/>
          <w:sz w:val="20"/>
          <w:szCs w:val="20"/>
        </w:rPr>
        <w:t>obtiene</w:t>
      </w:r>
      <w:r w:rsidR="00254BD4" w:rsidRPr="00254BD4">
        <w:rPr>
          <w:rFonts w:ascii="Bankinter Sans" w:hAnsi="Bankinter Sans"/>
          <w:sz w:val="20"/>
          <w:szCs w:val="20"/>
        </w:rPr>
        <w:t xml:space="preserve"> 327M€ </w:t>
      </w:r>
      <w:r w:rsidR="00254BD4">
        <w:rPr>
          <w:rFonts w:ascii="Bankinter Sans" w:hAnsi="Bankinter Sans"/>
          <w:sz w:val="20"/>
          <w:szCs w:val="20"/>
        </w:rPr>
        <w:t>en 2022 frente a los</w:t>
      </w:r>
      <w:r w:rsidR="00254BD4" w:rsidRPr="00254BD4">
        <w:rPr>
          <w:rFonts w:ascii="Bankinter Sans" w:hAnsi="Bankinter Sans"/>
          <w:sz w:val="20"/>
          <w:szCs w:val="20"/>
        </w:rPr>
        <w:t xml:space="preserve"> 39M€ que recibió en 2021</w:t>
      </w:r>
      <w:r w:rsidR="005C007A">
        <w:rPr>
          <w:rFonts w:ascii="Bankinter Sans" w:hAnsi="Bankinter Sans"/>
          <w:sz w:val="20"/>
          <w:szCs w:val="20"/>
        </w:rPr>
        <w:t>.</w:t>
      </w:r>
    </w:p>
    <w:p w14:paraId="51D5BBED" w14:textId="2DB2AB42" w:rsidR="00254BD4" w:rsidRDefault="00254BD4" w:rsidP="00693EEB">
      <w:pPr>
        <w:pStyle w:val="Prrafodelista"/>
        <w:numPr>
          <w:ilvl w:val="0"/>
          <w:numId w:val="4"/>
        </w:numPr>
        <w:rPr>
          <w:rFonts w:ascii="Bankinter Sans" w:hAnsi="Bankinter Sans"/>
          <w:sz w:val="20"/>
          <w:szCs w:val="20"/>
        </w:rPr>
      </w:pPr>
      <w:r w:rsidRPr="00254BD4">
        <w:rPr>
          <w:rFonts w:ascii="Bankinter Sans" w:hAnsi="Bankinter Sans"/>
          <w:sz w:val="20"/>
          <w:szCs w:val="20"/>
        </w:rPr>
        <w:t>La inversión de fondos con origen extranjero se desploma hasta los 1.357M€, un -40% respecto a 2021</w:t>
      </w:r>
      <w:r>
        <w:rPr>
          <w:rFonts w:ascii="Bankinter Sans" w:hAnsi="Bankinter Sans"/>
          <w:sz w:val="20"/>
          <w:szCs w:val="20"/>
        </w:rPr>
        <w:t>, mientras que l</w:t>
      </w:r>
      <w:r w:rsidRPr="00254BD4">
        <w:rPr>
          <w:rFonts w:ascii="Bankinter Sans" w:hAnsi="Bankinter Sans"/>
          <w:sz w:val="20"/>
          <w:szCs w:val="20"/>
        </w:rPr>
        <w:t>as rondas mixtas se mantienen con casi 1.600M€</w:t>
      </w:r>
      <w:r>
        <w:rPr>
          <w:rFonts w:ascii="Bankinter Sans" w:hAnsi="Bankinter Sans"/>
          <w:sz w:val="20"/>
          <w:szCs w:val="20"/>
        </w:rPr>
        <w:t xml:space="preserve"> y c</w:t>
      </w:r>
      <w:r w:rsidRPr="00254BD4">
        <w:rPr>
          <w:rFonts w:ascii="Bankinter Sans" w:hAnsi="Bankinter Sans"/>
          <w:sz w:val="20"/>
          <w:szCs w:val="20"/>
        </w:rPr>
        <w:t>rece de forma relevante el segmento de inversión local, hasta los casi 477M€.</w:t>
      </w:r>
      <w:r>
        <w:rPr>
          <w:rFonts w:ascii="Bankinter Sans" w:hAnsi="Bankinter Sans"/>
          <w:sz w:val="20"/>
          <w:szCs w:val="20"/>
        </w:rPr>
        <w:t xml:space="preserve"> </w:t>
      </w:r>
    </w:p>
    <w:p w14:paraId="3069955D" w14:textId="72B7E196" w:rsidR="00254BD4" w:rsidRPr="00254BD4" w:rsidRDefault="00254BD4" w:rsidP="00254BD4">
      <w:pPr>
        <w:pStyle w:val="Prrafodelista"/>
        <w:numPr>
          <w:ilvl w:val="0"/>
          <w:numId w:val="4"/>
        </w:numPr>
        <w:rPr>
          <w:rFonts w:ascii="Bankinter Sans" w:hAnsi="Bankinter Sans"/>
          <w:sz w:val="20"/>
          <w:szCs w:val="20"/>
        </w:rPr>
      </w:pPr>
      <w:r w:rsidRPr="00254BD4">
        <w:rPr>
          <w:rFonts w:ascii="Bankinter Sans" w:hAnsi="Bankinter Sans"/>
          <w:sz w:val="20"/>
          <w:szCs w:val="20"/>
        </w:rPr>
        <w:lastRenderedPageBreak/>
        <w:t>Barcelona vuelve a liderar el ranking de ciudades donde más inversión se capta, con una ligera subida de inversión (de 1.513M€ en 2021 a 1.596M€ en 2022</w:t>
      </w:r>
      <w:r>
        <w:rPr>
          <w:rFonts w:ascii="Bankinter Sans" w:hAnsi="Bankinter Sans"/>
          <w:sz w:val="20"/>
          <w:szCs w:val="20"/>
        </w:rPr>
        <w:t>), y el descenso de megarrondas sufrido en 2022</w:t>
      </w:r>
      <w:r w:rsidRPr="00254BD4">
        <w:rPr>
          <w:rFonts w:ascii="Bankinter Sans" w:hAnsi="Bankinter Sans"/>
          <w:sz w:val="20"/>
          <w:szCs w:val="20"/>
        </w:rPr>
        <w:t xml:space="preserve"> </w:t>
      </w:r>
      <w:r>
        <w:rPr>
          <w:rFonts w:ascii="Bankinter Sans" w:hAnsi="Bankinter Sans"/>
          <w:sz w:val="20"/>
          <w:szCs w:val="20"/>
        </w:rPr>
        <w:t>provoca un</w:t>
      </w:r>
      <w:r w:rsidRPr="00254BD4">
        <w:rPr>
          <w:rFonts w:ascii="Bankinter Sans" w:hAnsi="Bankinter Sans"/>
          <w:sz w:val="20"/>
          <w:szCs w:val="20"/>
        </w:rPr>
        <w:t xml:space="preserve"> desplome </w:t>
      </w:r>
      <w:r>
        <w:rPr>
          <w:rFonts w:ascii="Bankinter Sans" w:hAnsi="Bankinter Sans"/>
          <w:sz w:val="20"/>
          <w:szCs w:val="20"/>
        </w:rPr>
        <w:t xml:space="preserve">en </w:t>
      </w:r>
      <w:r w:rsidRPr="00254BD4">
        <w:rPr>
          <w:rFonts w:ascii="Bankinter Sans" w:hAnsi="Bankinter Sans"/>
          <w:sz w:val="20"/>
          <w:szCs w:val="20"/>
        </w:rPr>
        <w:t>Madrid (de 2.504M€ a 1.275M€).</w:t>
      </w:r>
      <w:r>
        <w:rPr>
          <w:rFonts w:ascii="Bankinter Sans" w:hAnsi="Bankinter Sans"/>
          <w:sz w:val="20"/>
          <w:szCs w:val="20"/>
        </w:rPr>
        <w:t xml:space="preserve"> Palencia y Alicante entran en los puestos tercero y cuarto del ranking de inversión por ciudades con los 100M€ invertidos en Zunder y 95M en Recover, respectivamente.</w:t>
      </w:r>
    </w:p>
    <w:p w14:paraId="4BC6BB4C" w14:textId="67943A16" w:rsidR="00254BD4" w:rsidRDefault="00254BD4" w:rsidP="00254BD4">
      <w:pPr>
        <w:pStyle w:val="Prrafodelista"/>
        <w:numPr>
          <w:ilvl w:val="0"/>
          <w:numId w:val="4"/>
        </w:numPr>
        <w:rPr>
          <w:rFonts w:ascii="Bankinter Sans" w:hAnsi="Bankinter Sans"/>
          <w:sz w:val="20"/>
          <w:szCs w:val="20"/>
        </w:rPr>
      </w:pPr>
      <w:r>
        <w:rPr>
          <w:rFonts w:ascii="Bankinter Sans" w:hAnsi="Bankinter Sans"/>
          <w:sz w:val="20"/>
          <w:szCs w:val="20"/>
        </w:rPr>
        <w:t>En cuanto a desinversiones, se han</w:t>
      </w:r>
      <w:r w:rsidRPr="00254BD4">
        <w:rPr>
          <w:rFonts w:ascii="Bankinter Sans" w:hAnsi="Bankinter Sans"/>
          <w:sz w:val="20"/>
          <w:szCs w:val="20"/>
        </w:rPr>
        <w:t xml:space="preserve"> producido 81 </w:t>
      </w:r>
      <w:r w:rsidRPr="005F0FCF">
        <w:rPr>
          <w:rFonts w:ascii="Bankinter Sans" w:hAnsi="Bankinter Sans"/>
          <w:i/>
          <w:iCs/>
          <w:sz w:val="20"/>
          <w:szCs w:val="20"/>
        </w:rPr>
        <w:t>exits</w:t>
      </w:r>
      <w:r w:rsidRPr="00254BD4">
        <w:rPr>
          <w:rFonts w:ascii="Bankinter Sans" w:hAnsi="Bankinter Sans"/>
          <w:sz w:val="20"/>
          <w:szCs w:val="20"/>
        </w:rPr>
        <w:t xml:space="preserve"> (frente a los 68 de 2021), </w:t>
      </w:r>
      <w:r>
        <w:rPr>
          <w:rFonts w:ascii="Bankinter Sans" w:hAnsi="Bankinter Sans"/>
          <w:sz w:val="20"/>
          <w:szCs w:val="20"/>
        </w:rPr>
        <w:t>por un</w:t>
      </w:r>
      <w:r w:rsidRPr="00254BD4">
        <w:rPr>
          <w:rFonts w:ascii="Bankinter Sans" w:hAnsi="Bankinter Sans"/>
          <w:sz w:val="20"/>
          <w:szCs w:val="20"/>
        </w:rPr>
        <w:t xml:space="preserve"> volumen total de un 64% menor: 1.285M€ frente a los 3.606M€ de 2021.</w:t>
      </w:r>
      <w:r>
        <w:rPr>
          <w:rFonts w:ascii="Bankinter Sans" w:hAnsi="Bankinter Sans"/>
          <w:sz w:val="20"/>
          <w:szCs w:val="20"/>
        </w:rPr>
        <w:t xml:space="preserve"> E</w:t>
      </w:r>
      <w:r w:rsidRPr="00254BD4">
        <w:rPr>
          <w:rFonts w:ascii="Bankinter Sans" w:hAnsi="Bankinter Sans"/>
          <w:sz w:val="20"/>
          <w:szCs w:val="20"/>
        </w:rPr>
        <w:t>l valor total de las desinversiones en 2022 es menor también que el valor de los exits en 2020, que alcanzó los 2.613M€ en tan solo 47 operaciones.</w:t>
      </w:r>
    </w:p>
    <w:p w14:paraId="3C853A28" w14:textId="7C4983A9" w:rsidR="00254BD4" w:rsidRPr="00254BD4" w:rsidRDefault="00254BD4" w:rsidP="00254BD4">
      <w:pPr>
        <w:rPr>
          <w:rFonts w:ascii="Bankinter Sans" w:hAnsi="Bankinter Sans"/>
          <w:sz w:val="20"/>
          <w:szCs w:val="20"/>
        </w:rPr>
      </w:pPr>
      <w:r>
        <w:rPr>
          <w:rFonts w:ascii="Bankinter Sans" w:hAnsi="Bankinter Sans"/>
          <w:sz w:val="20"/>
          <w:szCs w:val="20"/>
        </w:rPr>
        <w:t xml:space="preserve">Los datos indican que, frente a la cautela de los inversores internacionales, cuya mayor ausencia se ha dejado notar en la falta de megarrondas y en las inversiones en series más maduras, el ecosistema </w:t>
      </w:r>
      <w:r w:rsidR="00522DE5">
        <w:rPr>
          <w:rFonts w:ascii="Bankinter Sans" w:hAnsi="Bankinter Sans"/>
          <w:sz w:val="20"/>
          <w:szCs w:val="20"/>
        </w:rPr>
        <w:t xml:space="preserve">de </w:t>
      </w:r>
      <w:r>
        <w:rPr>
          <w:rFonts w:ascii="Bankinter Sans" w:hAnsi="Bankinter Sans"/>
          <w:sz w:val="20"/>
          <w:szCs w:val="20"/>
        </w:rPr>
        <w:t>startup</w:t>
      </w:r>
      <w:r w:rsidR="00522DE5">
        <w:rPr>
          <w:rFonts w:ascii="Bankinter Sans" w:hAnsi="Bankinter Sans"/>
          <w:sz w:val="20"/>
          <w:szCs w:val="20"/>
        </w:rPr>
        <w:t>s</w:t>
      </w:r>
      <w:r>
        <w:rPr>
          <w:rFonts w:ascii="Bankinter Sans" w:hAnsi="Bankinter Sans"/>
          <w:sz w:val="20"/>
          <w:szCs w:val="20"/>
        </w:rPr>
        <w:t xml:space="preserve"> español apuesta por proyectos más jóvenes, impulsados por la inversión local, y logra una resiliencia y una madurez que le permite superar volúmenes de años anteriores a 2021, un momento extraordinario dentro del ecosistema.</w:t>
      </w:r>
    </w:p>
    <w:p w14:paraId="3EB2A624" w14:textId="69DFA1BB" w:rsidR="0052343B" w:rsidRPr="0052343B" w:rsidRDefault="0052343B" w:rsidP="00890B8B">
      <w:pPr>
        <w:pStyle w:val="paragraph"/>
        <w:spacing w:after="160" w:afterAutospacing="0" w:line="254" w:lineRule="auto"/>
        <w:ind w:left="0"/>
        <w:jc w:val="left"/>
        <w:rPr>
          <w:rFonts w:ascii="Bankinter Sans" w:eastAsiaTheme="minorHAnsi" w:hAnsi="Bankinter Sans" w:cstheme="majorBidi"/>
          <w:b/>
          <w:sz w:val="20"/>
          <w:szCs w:val="20"/>
          <w:lang w:eastAsia="en-US"/>
        </w:rPr>
      </w:pPr>
      <w:r w:rsidRPr="0052343B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 xml:space="preserve">Estos y otros datos </w:t>
      </w:r>
      <w:r w:rsidRPr="005F0FCF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 xml:space="preserve">se analizan en el nuevo informe del Observatorio de Startups de la Fundación Innovación Bankinter, </w:t>
      </w:r>
      <w:hyperlink r:id="rId8" w:history="1">
        <w:r w:rsidRPr="005F0FCF">
          <w:rPr>
            <w:rStyle w:val="Hipervnculo"/>
            <w:rFonts w:ascii="Bankinter Sans" w:eastAsiaTheme="minorHAnsi" w:hAnsi="Bankinter Sans" w:cstheme="majorBidi"/>
            <w:bCs/>
            <w:sz w:val="20"/>
            <w:szCs w:val="20"/>
            <w:lang w:eastAsia="en-US"/>
          </w:rPr>
          <w:t>Tendencias de Inversión en Startups en 2022</w:t>
        </w:r>
      </w:hyperlink>
      <w:r w:rsidR="005F0FCF" w:rsidRPr="005F0FCF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>.</w:t>
      </w:r>
      <w:r w:rsidR="005F0FCF">
        <w:rPr>
          <w:rStyle w:val="normaltextrun"/>
          <w:rFonts w:ascii="Bankinter Sans" w:eastAsiaTheme="minorHAnsi" w:hAnsi="Bankinter Sans" w:cstheme="majorBidi"/>
          <w:bCs/>
          <w:color w:val="auto"/>
          <w:sz w:val="20"/>
          <w:szCs w:val="20"/>
          <w:lang w:eastAsia="en-US"/>
        </w:rPr>
        <w:t xml:space="preserve"> </w:t>
      </w:r>
    </w:p>
    <w:p w14:paraId="669C954F" w14:textId="7AAD4118" w:rsidR="0052343B" w:rsidRPr="00AE2786" w:rsidRDefault="0052343B" w:rsidP="0052343B">
      <w:pPr>
        <w:pStyle w:val="paragraph"/>
        <w:spacing w:line="254" w:lineRule="auto"/>
        <w:ind w:left="0" w:right="827"/>
        <w:rPr>
          <w:rStyle w:val="normaltextrun"/>
          <w:rFonts w:ascii="Bankinter Sans" w:eastAsiaTheme="minorHAnsi" w:hAnsi="Bankinter Sans" w:cstheme="majorBidi"/>
          <w:b/>
          <w:color w:val="auto"/>
          <w:sz w:val="18"/>
          <w:szCs w:val="18"/>
          <w:lang w:eastAsia="en-US"/>
        </w:rPr>
      </w:pPr>
      <w:r w:rsidRPr="00AE2786">
        <w:rPr>
          <w:rStyle w:val="normaltextrun"/>
          <w:rFonts w:ascii="Bankinter Sans" w:eastAsiaTheme="minorHAnsi" w:hAnsi="Bankinter Sans" w:cstheme="majorBidi"/>
          <w:b/>
          <w:color w:val="auto"/>
          <w:sz w:val="18"/>
          <w:szCs w:val="18"/>
          <w:lang w:eastAsia="en-US"/>
        </w:rPr>
        <w:t>Sobre el Observatorio de Startups</w:t>
      </w:r>
    </w:p>
    <w:p w14:paraId="2018D690" w14:textId="67FAE284" w:rsidR="0052343B" w:rsidRPr="00AE2786" w:rsidRDefault="0052343B" w:rsidP="0052343B">
      <w:pPr>
        <w:pStyle w:val="paragraph"/>
        <w:spacing w:line="254" w:lineRule="auto"/>
        <w:ind w:left="0"/>
        <w:jc w:val="left"/>
        <w:rPr>
          <w:rStyle w:val="normaltextrun"/>
          <w:rFonts w:ascii="Bankinter Sans" w:eastAsiaTheme="minorHAnsi" w:hAnsi="Bankinter Sans" w:cstheme="majorBidi"/>
          <w:bCs/>
          <w:color w:val="auto"/>
          <w:sz w:val="18"/>
          <w:szCs w:val="18"/>
          <w:lang w:eastAsia="en-US"/>
        </w:rPr>
      </w:pPr>
      <w:r w:rsidRPr="00AE2786">
        <w:rPr>
          <w:rStyle w:val="normaltextrun"/>
          <w:rFonts w:ascii="Bankinter Sans" w:eastAsiaTheme="minorHAnsi" w:hAnsi="Bankinter Sans" w:cstheme="majorBidi"/>
          <w:bCs/>
          <w:color w:val="auto"/>
          <w:sz w:val="18"/>
          <w:szCs w:val="18"/>
          <w:lang w:eastAsia="en-US"/>
        </w:rPr>
        <w:t xml:space="preserve">El </w:t>
      </w:r>
      <w:hyperlink r:id="rId9" w:history="1">
        <w:r w:rsidRPr="00AE2786">
          <w:rPr>
            <w:rStyle w:val="Hipervnculo"/>
            <w:rFonts w:ascii="Bankinter Sans" w:eastAsiaTheme="minorHAnsi" w:hAnsi="Bankinter Sans" w:cstheme="majorBidi"/>
            <w:bCs/>
            <w:sz w:val="18"/>
            <w:szCs w:val="18"/>
            <w:lang w:eastAsia="en-US"/>
          </w:rPr>
          <w:t>Observatorio de Startups</w:t>
        </w:r>
      </w:hyperlink>
      <w:r w:rsidRPr="00AE2786">
        <w:rPr>
          <w:rStyle w:val="normaltextrun"/>
          <w:rFonts w:ascii="Bankinter Sans" w:eastAsiaTheme="minorHAnsi" w:hAnsi="Bankinter Sans" w:cstheme="majorBidi"/>
          <w:bCs/>
          <w:color w:val="FFC000"/>
          <w:sz w:val="18"/>
          <w:szCs w:val="18"/>
          <w:lang w:eastAsia="en-US"/>
        </w:rPr>
        <w:t xml:space="preserve"> </w:t>
      </w:r>
      <w:r w:rsidRPr="00AE2786">
        <w:rPr>
          <w:rStyle w:val="normaltextrun"/>
          <w:rFonts w:ascii="Bankinter Sans" w:eastAsiaTheme="minorHAnsi" w:hAnsi="Bankinter Sans" w:cstheme="majorBidi"/>
          <w:bCs/>
          <w:color w:val="auto"/>
          <w:sz w:val="18"/>
          <w:szCs w:val="18"/>
          <w:lang w:eastAsia="en-US"/>
        </w:rPr>
        <w:t>en España es parte del compromiso de Fundación Innovación Bankinter con los emprendedores españoles dentro de su programa Startups. Nac</w:t>
      </w:r>
      <w:r w:rsidR="00522DE5">
        <w:rPr>
          <w:rStyle w:val="normaltextrun"/>
          <w:rFonts w:ascii="Bankinter Sans" w:eastAsiaTheme="minorHAnsi" w:hAnsi="Bankinter Sans" w:cstheme="majorBidi"/>
          <w:bCs/>
          <w:color w:val="auto"/>
          <w:sz w:val="18"/>
          <w:szCs w:val="18"/>
          <w:lang w:eastAsia="en-US"/>
        </w:rPr>
        <w:t>ió</w:t>
      </w:r>
      <w:r w:rsidRPr="00AE2786">
        <w:rPr>
          <w:rStyle w:val="normaltextrun"/>
          <w:rFonts w:ascii="Bankinter Sans" w:eastAsiaTheme="minorHAnsi" w:hAnsi="Bankinter Sans" w:cstheme="majorBidi"/>
          <w:bCs/>
          <w:color w:val="auto"/>
          <w:sz w:val="18"/>
          <w:szCs w:val="18"/>
          <w:lang w:eastAsia="en-US"/>
        </w:rPr>
        <w:t xml:space="preserve"> para actuar como un barómetro de situación del ámbito emprendedor dentro de la economía y como una herramienta de información y detección de tendencias útil para los emprendedores.</w:t>
      </w:r>
    </w:p>
    <w:p w14:paraId="73EC0423" w14:textId="3C59E4E6" w:rsidR="0052343B" w:rsidRPr="00AE2786" w:rsidRDefault="00000000" w:rsidP="0052343B">
      <w:pPr>
        <w:pStyle w:val="paragraph"/>
        <w:spacing w:line="254" w:lineRule="auto"/>
        <w:ind w:left="0"/>
        <w:jc w:val="left"/>
        <w:rPr>
          <w:rStyle w:val="normaltextrun"/>
          <w:rFonts w:ascii="Bankinter Sans" w:eastAsiaTheme="minorHAnsi" w:hAnsi="Bankinter Sans" w:cstheme="majorBidi"/>
          <w:bCs/>
          <w:color w:val="auto"/>
          <w:sz w:val="18"/>
          <w:szCs w:val="18"/>
          <w:lang w:eastAsia="en-US"/>
        </w:rPr>
      </w:pPr>
      <w:hyperlink r:id="rId10" w:history="1">
        <w:r w:rsidR="0052343B" w:rsidRPr="00AE2786">
          <w:rPr>
            <w:rStyle w:val="Hipervnculo"/>
            <w:rFonts w:ascii="Bankinter Sans" w:eastAsiaTheme="minorHAnsi" w:hAnsi="Bankinter Sans" w:cstheme="majorBidi"/>
            <w:bCs/>
            <w:sz w:val="18"/>
            <w:szCs w:val="18"/>
            <w:lang w:eastAsia="en-US"/>
          </w:rPr>
          <w:t>La herramienta del Observatorio</w:t>
        </w:r>
      </w:hyperlink>
      <w:r w:rsidR="0052343B" w:rsidRPr="00AE2786">
        <w:rPr>
          <w:rStyle w:val="normaltextrun"/>
          <w:rFonts w:ascii="Bankinter Sans" w:eastAsiaTheme="minorHAnsi" w:hAnsi="Bankinter Sans" w:cstheme="majorBidi"/>
          <w:bCs/>
          <w:color w:val="auto"/>
          <w:sz w:val="18"/>
          <w:szCs w:val="18"/>
          <w:lang w:eastAsia="en-US"/>
        </w:rPr>
        <w:t xml:space="preserve"> permite acceder a gráficos interactivos y datos actualizados semanalmente sobre la actividad del ecosistema startup en España que, además, se recogen, estudian y analizan de manera trimestral y anual en un informe.</w:t>
      </w:r>
    </w:p>
    <w:p w14:paraId="4067AAE6" w14:textId="77777777" w:rsidR="0052343B" w:rsidRPr="00AE2786" w:rsidRDefault="0052343B" w:rsidP="0052343B">
      <w:pPr>
        <w:pStyle w:val="paragraph"/>
        <w:spacing w:line="254" w:lineRule="auto"/>
        <w:ind w:left="0"/>
        <w:jc w:val="left"/>
        <w:rPr>
          <w:rStyle w:val="normaltextrun"/>
          <w:rFonts w:ascii="Bankinter Sans" w:eastAsiaTheme="minorHAnsi" w:hAnsi="Bankinter Sans" w:cstheme="majorBidi"/>
          <w:b/>
          <w:color w:val="auto"/>
          <w:sz w:val="18"/>
          <w:szCs w:val="18"/>
          <w:lang w:eastAsia="en-US"/>
        </w:rPr>
      </w:pPr>
      <w:r w:rsidRPr="00AE2786">
        <w:rPr>
          <w:rStyle w:val="normaltextrun"/>
          <w:rFonts w:ascii="Bankinter Sans" w:eastAsiaTheme="minorHAnsi" w:hAnsi="Bankinter Sans" w:cstheme="majorBidi"/>
          <w:b/>
          <w:color w:val="auto"/>
          <w:sz w:val="18"/>
          <w:szCs w:val="18"/>
          <w:lang w:eastAsia="en-US"/>
        </w:rPr>
        <w:t>Sobre la Fundación Innovación Bankinter</w:t>
      </w:r>
    </w:p>
    <w:p w14:paraId="641420E1" w14:textId="77777777" w:rsidR="0052343B" w:rsidRPr="00AE2786" w:rsidRDefault="0052343B" w:rsidP="0052343B">
      <w:pPr>
        <w:pStyle w:val="3Destacado"/>
        <w:spacing w:line="240" w:lineRule="auto"/>
        <w:ind w:right="0"/>
        <w:jc w:val="left"/>
        <w:rPr>
          <w:b w:val="0"/>
          <w:bCs w:val="0"/>
          <w:sz w:val="18"/>
          <w:szCs w:val="18"/>
        </w:rPr>
      </w:pPr>
      <w:r w:rsidRPr="00AE2786">
        <w:rPr>
          <w:b w:val="0"/>
          <w:bCs w:val="0"/>
          <w:sz w:val="18"/>
          <w:szCs w:val="18"/>
        </w:rPr>
        <w:t xml:space="preserve">En la </w:t>
      </w:r>
      <w:hyperlink r:id="rId11" w:tgtFrame="_blank" w:tooltip="https://www.fundacionbankinter.org/" w:history="1">
        <w:r w:rsidRPr="00AE2786">
          <w:rPr>
            <w:rStyle w:val="Hipervnculo"/>
            <w:rFonts w:ascii="Bankinter Sans" w:hAnsi="Bankinter Sans"/>
            <w:b w:val="0"/>
            <w:bCs w:val="0"/>
            <w:sz w:val="18"/>
            <w:szCs w:val="18"/>
          </w:rPr>
          <w:t>Fundación Innovación Bankinter</w:t>
        </w:r>
      </w:hyperlink>
      <w:r w:rsidRPr="00AE2786">
        <w:rPr>
          <w:b w:val="0"/>
          <w:bCs w:val="0"/>
          <w:sz w:val="18"/>
          <w:szCs w:val="18"/>
        </w:rPr>
        <w:t xml:space="preserve"> trabajamos desde 2003 para transformar la sociedad a través de la innovación. Alineada con los propósitos de Bankinter, impulsamos nuestra comunidad de innovadores desde cuatro áreas clave: conocimiento, a través del think tank </w:t>
      </w:r>
      <w:r w:rsidRPr="00AE2786">
        <w:rPr>
          <w:sz w:val="18"/>
          <w:szCs w:val="18"/>
        </w:rPr>
        <w:t>Future Trends Forum</w:t>
      </w:r>
      <w:r w:rsidRPr="00AE2786">
        <w:rPr>
          <w:b w:val="0"/>
          <w:bCs w:val="0"/>
          <w:sz w:val="18"/>
          <w:szCs w:val="18"/>
        </w:rPr>
        <w:t xml:space="preserve">; emprendimiento, mediante su programa </w:t>
      </w:r>
      <w:r w:rsidRPr="00AE2786">
        <w:rPr>
          <w:sz w:val="18"/>
          <w:szCs w:val="18"/>
        </w:rPr>
        <w:t>Startups</w:t>
      </w:r>
      <w:r w:rsidRPr="00AE2786">
        <w:rPr>
          <w:b w:val="0"/>
          <w:bCs w:val="0"/>
          <w:sz w:val="18"/>
          <w:szCs w:val="18"/>
        </w:rPr>
        <w:t xml:space="preserve">; educación, con </w:t>
      </w:r>
      <w:r w:rsidRPr="00AE2786">
        <w:rPr>
          <w:sz w:val="18"/>
          <w:szCs w:val="18"/>
        </w:rPr>
        <w:t>Akademia</w:t>
      </w:r>
      <w:r w:rsidRPr="00AE2786">
        <w:rPr>
          <w:b w:val="0"/>
          <w:bCs w:val="0"/>
          <w:sz w:val="18"/>
          <w:szCs w:val="18"/>
        </w:rPr>
        <w:t xml:space="preserve"> y sus acciones en universidades; y empresas, a cuyo apoyo y soporte se dedica la </w:t>
      </w:r>
      <w:r w:rsidRPr="00AE2786">
        <w:rPr>
          <w:sz w:val="18"/>
          <w:szCs w:val="18"/>
        </w:rPr>
        <w:t>Fundación Cre100do</w:t>
      </w:r>
      <w:r w:rsidRPr="00AE2786">
        <w:rPr>
          <w:b w:val="0"/>
          <w:bCs w:val="0"/>
          <w:sz w:val="18"/>
          <w:szCs w:val="18"/>
        </w:rPr>
        <w:t>.</w:t>
      </w:r>
    </w:p>
    <w:p w14:paraId="733E4415" w14:textId="77777777" w:rsidR="0052343B" w:rsidRPr="00AE2786" w:rsidRDefault="0052343B" w:rsidP="0052343B">
      <w:pPr>
        <w:pStyle w:val="3Destacado"/>
        <w:spacing w:line="240" w:lineRule="auto"/>
        <w:ind w:right="0"/>
        <w:jc w:val="left"/>
        <w:rPr>
          <w:b w:val="0"/>
          <w:bCs w:val="0"/>
          <w:sz w:val="18"/>
          <w:szCs w:val="18"/>
        </w:rPr>
      </w:pPr>
      <w:r w:rsidRPr="00AE2786">
        <w:rPr>
          <w:rFonts w:cs="Segoe UI"/>
          <w:b w:val="0"/>
          <w:bCs w:val="0"/>
          <w:color w:val="242424"/>
          <w:sz w:val="18"/>
          <w:szCs w:val="18"/>
          <w:shd w:val="clear" w:color="auto" w:fill="FFFFFF"/>
        </w:rPr>
        <w:t>En </w:t>
      </w:r>
      <w:r w:rsidRPr="00AE2786">
        <w:rPr>
          <w:rFonts w:cs="Segoe UI"/>
          <w:color w:val="242424"/>
          <w:sz w:val="18"/>
          <w:szCs w:val="18"/>
          <w:shd w:val="clear" w:color="auto" w:fill="FFFFFF"/>
        </w:rPr>
        <w:t>Startups</w:t>
      </w:r>
      <w:r w:rsidRPr="00AE2786">
        <w:rPr>
          <w:rFonts w:cs="Segoe UI"/>
          <w:b w:val="0"/>
          <w:bCs w:val="0"/>
          <w:color w:val="242424"/>
          <w:sz w:val="18"/>
          <w:szCs w:val="18"/>
          <w:shd w:val="clear" w:color="auto" w:fill="FFFFFF"/>
        </w:rPr>
        <w:t>, desarrollamos, conjuntamente con Bankinter Capital Riesgo, el programa </w:t>
      </w:r>
      <w:r w:rsidRPr="00AE2786">
        <w:rPr>
          <w:rFonts w:cs="Segoe UI"/>
          <w:color w:val="242424"/>
          <w:sz w:val="18"/>
          <w:szCs w:val="18"/>
          <w:shd w:val="clear" w:color="auto" w:fill="FFFFFF"/>
        </w:rPr>
        <w:t>Venture Capital</w:t>
      </w:r>
      <w:r w:rsidRPr="00AE2786">
        <w:rPr>
          <w:rFonts w:cs="Segoe UI"/>
          <w:b w:val="0"/>
          <w:bCs w:val="0"/>
          <w:color w:val="242424"/>
          <w:sz w:val="18"/>
          <w:szCs w:val="18"/>
          <w:shd w:val="clear" w:color="auto" w:fill="FFFFFF"/>
        </w:rPr>
        <w:t>, enfocado en identificar e invertir en startups de alto potencial. A través del </w:t>
      </w:r>
      <w:r w:rsidRPr="00AE2786">
        <w:rPr>
          <w:rFonts w:cs="Segoe UI"/>
          <w:color w:val="242424"/>
          <w:sz w:val="18"/>
          <w:szCs w:val="18"/>
          <w:shd w:val="clear" w:color="auto" w:fill="FFFFFF"/>
        </w:rPr>
        <w:t>Observatorio de Startups</w:t>
      </w:r>
      <w:r w:rsidRPr="00AE2786">
        <w:rPr>
          <w:rFonts w:cs="Segoe UI"/>
          <w:b w:val="0"/>
          <w:bCs w:val="0"/>
          <w:color w:val="242424"/>
          <w:sz w:val="18"/>
          <w:szCs w:val="18"/>
          <w:shd w:val="clear" w:color="auto" w:fill="FFFFFF"/>
        </w:rPr>
        <w:t> ofrecemos transparencia y visibilidad del estado de la inversión en España. Y con </w:t>
      </w:r>
      <w:r w:rsidRPr="00AE2786">
        <w:rPr>
          <w:rFonts w:cs="Segoe UI"/>
          <w:color w:val="242424"/>
          <w:sz w:val="18"/>
          <w:szCs w:val="18"/>
          <w:shd w:val="clear" w:color="auto" w:fill="FFFFFF"/>
        </w:rPr>
        <w:t>Scaleup Spain Network</w:t>
      </w:r>
      <w:r w:rsidRPr="00AE2786">
        <w:rPr>
          <w:rFonts w:cs="Segoe UI"/>
          <w:b w:val="0"/>
          <w:bCs w:val="0"/>
          <w:color w:val="242424"/>
          <w:sz w:val="18"/>
          <w:szCs w:val="18"/>
          <w:shd w:val="clear" w:color="auto" w:fill="FFFFFF"/>
        </w:rPr>
        <w:t> impulsamos el crecimiento de las scaleups.</w:t>
      </w:r>
    </w:p>
    <w:p w14:paraId="36C6CC7F" w14:textId="798B7F94" w:rsidR="0052343B" w:rsidRPr="0052343B" w:rsidRDefault="0052343B" w:rsidP="0052343B">
      <w:pPr>
        <w:pStyle w:val="4Prrafo"/>
        <w:spacing w:before="0" w:beforeAutospacing="0"/>
        <w:ind w:left="426"/>
        <w:rPr>
          <w:rStyle w:val="Hipervnculo"/>
          <w:rFonts w:ascii="Bankinter Sans" w:hAnsi="Bankinter Sans"/>
          <w:sz w:val="20"/>
          <w:szCs w:val="20"/>
        </w:rPr>
      </w:pPr>
      <w:r w:rsidRPr="0052343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8C01572" wp14:editId="122D9A7C">
            <wp:simplePos x="0" y="0"/>
            <wp:positionH relativeFrom="column">
              <wp:posOffset>94615</wp:posOffset>
            </wp:positionH>
            <wp:positionV relativeFrom="paragraph">
              <wp:posOffset>6985</wp:posOffset>
            </wp:positionV>
            <wp:extent cx="4724400" cy="1574800"/>
            <wp:effectExtent l="0" t="0" r="0" b="6350"/>
            <wp:wrapNone/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C62BB" wp14:editId="56078523">
                <wp:simplePos x="0" y="0"/>
                <wp:positionH relativeFrom="column">
                  <wp:posOffset>113665</wp:posOffset>
                </wp:positionH>
                <wp:positionV relativeFrom="paragraph">
                  <wp:posOffset>116840</wp:posOffset>
                </wp:positionV>
                <wp:extent cx="3810000" cy="124460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260F0" w14:textId="77777777" w:rsidR="0052343B" w:rsidRPr="00AE2786" w:rsidRDefault="0052343B" w:rsidP="0052343B">
                            <w:pPr>
                              <w:pStyle w:val="6Cajadeinformacin"/>
                              <w:rPr>
                                <w:sz w:val="20"/>
                                <w:szCs w:val="20"/>
                              </w:rPr>
                            </w:pPr>
                            <w:r w:rsidRPr="00AE2786">
                              <w:rPr>
                                <w:sz w:val="20"/>
                                <w:szCs w:val="20"/>
                              </w:rPr>
                              <w:t xml:space="preserve">Para más información: </w:t>
                            </w:r>
                          </w:p>
                          <w:p w14:paraId="149D9DFF" w14:textId="6CB54DD2" w:rsidR="0052343B" w:rsidRPr="00AE2786" w:rsidRDefault="0052343B" w:rsidP="0052343B">
                            <w:pPr>
                              <w:pStyle w:val="6Cajadeinformacin"/>
                              <w:rPr>
                                <w:sz w:val="20"/>
                                <w:szCs w:val="20"/>
                              </w:rPr>
                            </w:pPr>
                            <w:r w:rsidRPr="00AE2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Mª Teresa Jiménez Herradón</w:t>
                            </w:r>
                            <w:r w:rsidRPr="00AE2786">
                              <w:rPr>
                                <w:sz w:val="20"/>
                                <w:szCs w:val="20"/>
                              </w:rPr>
                              <w:br/>
                              <w:t xml:space="preserve">Comunicación Fundación Innovación Bankinter </w:t>
                            </w:r>
                            <w:r w:rsidRPr="00AE278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4" w:history="1">
                              <w:r w:rsidRPr="00AE2786">
                                <w:rPr>
                                  <w:rStyle w:val="Hipervnculo"/>
                                  <w:rFonts w:ascii="Bankinter Sans" w:hAnsi="Bankinter Sans"/>
                                  <w:sz w:val="20"/>
                                  <w:szCs w:val="20"/>
                                </w:rPr>
                                <w:t>mtjnezh@bankinter.com</w:t>
                              </w:r>
                            </w:hyperlink>
                            <w:r w:rsidRPr="00AE2786">
                              <w:rPr>
                                <w:sz w:val="20"/>
                                <w:szCs w:val="20"/>
                              </w:rPr>
                              <w:br/>
                              <w:t>Tfno: 647 6</w:t>
                            </w:r>
                            <w:r w:rsidR="00890B8B" w:rsidRPr="00AE2786">
                              <w:rPr>
                                <w:sz w:val="20"/>
                                <w:szCs w:val="20"/>
                              </w:rPr>
                              <w:t>76348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C62B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8.95pt;margin-top:9.2pt;width:300pt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" filled="f" stroked="f" strokeweight=".5pt">
                <v:textbox>
                  <w:txbxContent>
                    <w:p w14:paraId="129260F0" w14:textId="77777777" w:rsidR="0052343B" w:rsidRPr="00AE2786" w:rsidRDefault="0052343B" w:rsidP="0052343B">
                      <w:pPr>
                        <w:pStyle w:val="6Cajadeinformacin"/>
                        <w:rPr>
                          <w:sz w:val="20"/>
                          <w:szCs w:val="20"/>
                        </w:rPr>
                      </w:pPr>
                      <w:r w:rsidRPr="00AE2786">
                        <w:rPr>
                          <w:sz w:val="20"/>
                          <w:szCs w:val="20"/>
                        </w:rPr>
                        <w:t xml:space="preserve">Para más información: </w:t>
                      </w:r>
                    </w:p>
                    <w:p w14:paraId="149D9DFF" w14:textId="6CB54DD2" w:rsidR="0052343B" w:rsidRPr="00AE2786" w:rsidRDefault="0052343B" w:rsidP="0052343B">
                      <w:pPr>
                        <w:pStyle w:val="6Cajadeinformacin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E2786">
                        <w:rPr>
                          <w:b/>
                          <w:bCs/>
                          <w:sz w:val="20"/>
                          <w:szCs w:val="20"/>
                        </w:rPr>
                        <w:t>Mª</w:t>
                      </w:r>
                      <w:proofErr w:type="spellEnd"/>
                      <w:r w:rsidRPr="00AE27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Teresa Jiménez Herradón</w:t>
                      </w:r>
                      <w:r w:rsidRPr="00AE2786">
                        <w:rPr>
                          <w:sz w:val="20"/>
                          <w:szCs w:val="20"/>
                        </w:rPr>
                        <w:br/>
                        <w:t xml:space="preserve">Comunicación Fundación Innovación Bankinter </w:t>
                      </w:r>
                      <w:r w:rsidRPr="00AE2786">
                        <w:rPr>
                          <w:sz w:val="20"/>
                          <w:szCs w:val="20"/>
                        </w:rPr>
                        <w:br/>
                      </w:r>
                      <w:hyperlink r:id="rId15" w:history="1">
                        <w:r w:rsidRPr="00AE2786">
                          <w:rPr>
                            <w:rStyle w:val="Hipervnculo"/>
                            <w:rFonts w:ascii="Bankinter Sans" w:hAnsi="Bankinter Sans"/>
                            <w:sz w:val="20"/>
                            <w:szCs w:val="20"/>
                          </w:rPr>
                          <w:t>mtjnezh@bankinter.com</w:t>
                        </w:r>
                      </w:hyperlink>
                      <w:r w:rsidRPr="00AE2786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E2786">
                        <w:rPr>
                          <w:sz w:val="20"/>
                          <w:szCs w:val="20"/>
                        </w:rPr>
                        <w:t>Tfno</w:t>
                      </w:r>
                      <w:proofErr w:type="spellEnd"/>
                      <w:r w:rsidRPr="00AE2786">
                        <w:rPr>
                          <w:sz w:val="20"/>
                          <w:szCs w:val="20"/>
                        </w:rPr>
                        <w:t>: 647 6</w:t>
                      </w:r>
                      <w:r w:rsidR="00890B8B" w:rsidRPr="00AE2786">
                        <w:rPr>
                          <w:sz w:val="20"/>
                          <w:szCs w:val="20"/>
                        </w:rPr>
                        <w:t>76348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9FE926" w14:textId="77777777" w:rsidR="0052343B" w:rsidRPr="0052343B" w:rsidRDefault="0052343B" w:rsidP="0052343B">
      <w:pPr>
        <w:pStyle w:val="paragraph"/>
        <w:spacing w:line="254" w:lineRule="auto"/>
        <w:ind w:left="0" w:right="827"/>
        <w:rPr>
          <w:rFonts w:ascii="Bankinter Sans" w:hAnsi="Bankinter Sans"/>
          <w:sz w:val="20"/>
          <w:szCs w:val="20"/>
        </w:rPr>
      </w:pPr>
    </w:p>
    <w:p w14:paraId="3B18229D" w14:textId="77777777" w:rsidR="0052343B" w:rsidRPr="0052343B" w:rsidRDefault="0052343B" w:rsidP="002B4B08">
      <w:pPr>
        <w:ind w:left="360"/>
        <w:rPr>
          <w:rFonts w:ascii="Bankinter Sans" w:hAnsi="Bankinter Sans"/>
          <w:sz w:val="20"/>
          <w:szCs w:val="20"/>
        </w:rPr>
      </w:pPr>
    </w:p>
    <w:sectPr w:rsidR="0052343B" w:rsidRPr="0052343B" w:rsidSect="00890B8B">
      <w:headerReference w:type="default" r:id="rId16"/>
      <w:pgSz w:w="11906" w:h="16838"/>
      <w:pgMar w:top="1440" w:right="1080" w:bottom="1440" w:left="1080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56C1" w14:textId="77777777" w:rsidR="00EA6B5C" w:rsidRDefault="00EA6B5C" w:rsidP="0052343B">
      <w:pPr>
        <w:spacing w:after="0" w:line="240" w:lineRule="auto"/>
      </w:pPr>
      <w:r>
        <w:separator/>
      </w:r>
    </w:p>
  </w:endnote>
  <w:endnote w:type="continuationSeparator" w:id="0">
    <w:p w14:paraId="515E956A" w14:textId="77777777" w:rsidR="00EA6B5C" w:rsidRDefault="00EA6B5C" w:rsidP="0052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inter Sans">
    <w:panose1 w:val="00000000000000000000"/>
    <w:charset w:val="00"/>
    <w:family w:val="auto"/>
    <w:pitch w:val="variable"/>
    <w:sig w:usb0="800002EF" w:usb1="0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A155" w14:textId="77777777" w:rsidR="00EA6B5C" w:rsidRDefault="00EA6B5C" w:rsidP="0052343B">
      <w:pPr>
        <w:spacing w:after="0" w:line="240" w:lineRule="auto"/>
      </w:pPr>
      <w:bookmarkStart w:id="0" w:name="_Hlk108436505"/>
      <w:bookmarkEnd w:id="0"/>
      <w:r>
        <w:separator/>
      </w:r>
    </w:p>
  </w:footnote>
  <w:footnote w:type="continuationSeparator" w:id="0">
    <w:p w14:paraId="0373996B" w14:textId="77777777" w:rsidR="00EA6B5C" w:rsidRDefault="00EA6B5C" w:rsidP="0052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CD37" w14:textId="14FF2E57" w:rsidR="0052343B" w:rsidRDefault="00890B8B" w:rsidP="0052343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C31013" wp14:editId="1CA16E97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1898650" cy="469265"/>
          <wp:effectExtent l="0" t="0" r="6350" b="6985"/>
          <wp:wrapNone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43B">
      <w:rPr>
        <w:noProof/>
      </w:rPr>
      <w:drawing>
        <wp:inline distT="0" distB="0" distL="0" distR="0" wp14:anchorId="3C2DF99D" wp14:editId="4ACDE289">
          <wp:extent cx="726440" cy="471170"/>
          <wp:effectExtent l="0" t="0" r="0" b="0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3961"/>
                  <a:stretch/>
                </pic:blipFill>
                <pic:spPr bwMode="auto">
                  <a:xfrm>
                    <a:off x="0" y="0"/>
                    <a:ext cx="728397" cy="472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2343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40D"/>
    <w:multiLevelType w:val="hybridMultilevel"/>
    <w:tmpl w:val="1A32309E"/>
    <w:lvl w:ilvl="0" w:tplc="15CC99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3718"/>
    <w:multiLevelType w:val="hybridMultilevel"/>
    <w:tmpl w:val="E79AC3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B3D11"/>
    <w:multiLevelType w:val="hybridMultilevel"/>
    <w:tmpl w:val="2E70D31E"/>
    <w:lvl w:ilvl="0" w:tplc="35E4C104">
      <w:numFmt w:val="bullet"/>
      <w:lvlText w:val="-"/>
      <w:lvlJc w:val="left"/>
      <w:pPr>
        <w:ind w:left="720" w:hanging="360"/>
      </w:pPr>
      <w:rPr>
        <w:rFonts w:ascii="Bankinter Sans" w:eastAsia="Times New Roman" w:hAnsi="Bankinter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D29BF"/>
    <w:multiLevelType w:val="hybridMultilevel"/>
    <w:tmpl w:val="81C29402"/>
    <w:lvl w:ilvl="0" w:tplc="0398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89073">
    <w:abstractNumId w:val="3"/>
  </w:num>
  <w:num w:numId="2" w16cid:durableId="1155492195">
    <w:abstractNumId w:val="0"/>
  </w:num>
  <w:num w:numId="3" w16cid:durableId="1211646081">
    <w:abstractNumId w:val="2"/>
  </w:num>
  <w:num w:numId="4" w16cid:durableId="200234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7"/>
    <w:rsid w:val="000F55B8"/>
    <w:rsid w:val="001B7AE1"/>
    <w:rsid w:val="00254BD4"/>
    <w:rsid w:val="00277282"/>
    <w:rsid w:val="00286B81"/>
    <w:rsid w:val="002B4B08"/>
    <w:rsid w:val="00304DCF"/>
    <w:rsid w:val="003A67A1"/>
    <w:rsid w:val="0043647C"/>
    <w:rsid w:val="00476E4C"/>
    <w:rsid w:val="00522DE5"/>
    <w:rsid w:val="0052343B"/>
    <w:rsid w:val="005A47A3"/>
    <w:rsid w:val="005C007A"/>
    <w:rsid w:val="005F0FCF"/>
    <w:rsid w:val="00693EEB"/>
    <w:rsid w:val="006B18CD"/>
    <w:rsid w:val="007C3862"/>
    <w:rsid w:val="007C6B4C"/>
    <w:rsid w:val="007F6067"/>
    <w:rsid w:val="00890B8B"/>
    <w:rsid w:val="00903473"/>
    <w:rsid w:val="00906827"/>
    <w:rsid w:val="009A343B"/>
    <w:rsid w:val="00AD6390"/>
    <w:rsid w:val="00AE2786"/>
    <w:rsid w:val="00BA471D"/>
    <w:rsid w:val="00C40D41"/>
    <w:rsid w:val="00CD3A6D"/>
    <w:rsid w:val="00D6478B"/>
    <w:rsid w:val="00D902B0"/>
    <w:rsid w:val="00D94A83"/>
    <w:rsid w:val="00E8621D"/>
    <w:rsid w:val="00EA6B5C"/>
    <w:rsid w:val="00EE20AF"/>
    <w:rsid w:val="00F51A46"/>
    <w:rsid w:val="00FA4CB3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491D0"/>
  <w15:docId w15:val="{6988856F-0A98-45FC-B9B4-A8583D99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4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3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43B"/>
  </w:style>
  <w:style w:type="paragraph" w:styleId="Piedepgina">
    <w:name w:val="footer"/>
    <w:basedOn w:val="Normal"/>
    <w:link w:val="PiedepginaCar"/>
    <w:uiPriority w:val="99"/>
    <w:unhideWhenUsed/>
    <w:rsid w:val="00523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43B"/>
  </w:style>
  <w:style w:type="paragraph" w:customStyle="1" w:styleId="paragraph">
    <w:name w:val="paragraph"/>
    <w:basedOn w:val="Normal"/>
    <w:rsid w:val="0052343B"/>
    <w:pPr>
      <w:spacing w:before="100" w:beforeAutospacing="1" w:after="100" w:afterAutospacing="1" w:line="240" w:lineRule="auto"/>
      <w:ind w:left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52343B"/>
  </w:style>
  <w:style w:type="character" w:styleId="Hipervnculo">
    <w:name w:val="Hyperlink"/>
    <w:rsid w:val="0052343B"/>
    <w:rPr>
      <w:rFonts w:ascii="Poppins" w:hAnsi="Poppins"/>
      <w:color w:val="4472C4" w:themeColor="accent1"/>
      <w:u w:val="single"/>
    </w:rPr>
  </w:style>
  <w:style w:type="paragraph" w:customStyle="1" w:styleId="3Destacado">
    <w:name w:val="3 · Destacado"/>
    <w:basedOn w:val="Normal"/>
    <w:qFormat/>
    <w:rsid w:val="0052343B"/>
    <w:pPr>
      <w:spacing w:before="100" w:beforeAutospacing="1" w:line="254" w:lineRule="auto"/>
      <w:ind w:right="34"/>
      <w:jc w:val="both"/>
    </w:pPr>
    <w:rPr>
      <w:rFonts w:ascii="Bankinter Sans" w:hAnsi="Bankinter Sans" w:cstheme="majorBidi"/>
      <w:b/>
      <w:bCs/>
    </w:rPr>
  </w:style>
  <w:style w:type="paragraph" w:customStyle="1" w:styleId="4Prrafo">
    <w:name w:val="4. Párrafo"/>
    <w:basedOn w:val="Normal"/>
    <w:rsid w:val="0052343B"/>
    <w:pPr>
      <w:spacing w:before="100" w:beforeAutospacing="1" w:line="254" w:lineRule="auto"/>
      <w:ind w:right="34"/>
      <w:jc w:val="both"/>
    </w:pPr>
    <w:rPr>
      <w:rFonts w:ascii="Bankinter Sans" w:hAnsi="Bankinter Sans" w:cstheme="majorBidi"/>
    </w:rPr>
  </w:style>
  <w:style w:type="paragraph" w:customStyle="1" w:styleId="6Cajadeinformacin">
    <w:name w:val="6 · Caja de información"/>
    <w:basedOn w:val="4Prrafo"/>
    <w:qFormat/>
    <w:rsid w:val="0052343B"/>
    <w:pPr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523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43B"/>
    <w:pPr>
      <w:spacing w:after="0" w:line="240" w:lineRule="auto"/>
    </w:pPr>
    <w:rPr>
      <w:rFonts w:ascii="Poppins" w:eastAsia="Times New Roman" w:hAnsi="Poppins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43B"/>
    <w:rPr>
      <w:rFonts w:ascii="Poppins" w:eastAsia="Times New Roman" w:hAnsi="Poppins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2343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51A46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21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21D"/>
    <w:rPr>
      <w:rFonts w:ascii="Poppins" w:eastAsia="Times New Roman" w:hAnsi="Poppins" w:cs="Times New Roman"/>
      <w:b/>
      <w:bCs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5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7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bankinter.org/informe-observatorio/tendencias-de-inversion-2022/" TargetMode="Externa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acionbankinte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tjnezh@bankinter.com" TargetMode="External"/><Relationship Id="rId10" Type="http://schemas.openxmlformats.org/officeDocument/2006/relationships/hyperlink" Target="https://www.fundacionbankinter.org/startups/observator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acionbankinter.org/startups/observatorio" TargetMode="External"/><Relationship Id="rId14" Type="http://schemas.openxmlformats.org/officeDocument/2006/relationships/hyperlink" Target="mailto:mtjnezh@bankinte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CF9B-0CB3-41C7-A71B-44F9574C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Jiménez Herradón</dc:creator>
  <cp:keywords/>
  <dc:description/>
  <cp:lastModifiedBy>María Teresa Jiménez Herradón</cp:lastModifiedBy>
  <cp:revision>5</cp:revision>
  <dcterms:created xsi:type="dcterms:W3CDTF">2023-02-02T10:09:00Z</dcterms:created>
  <dcterms:modified xsi:type="dcterms:W3CDTF">2023-02-02T12:07:00Z</dcterms:modified>
</cp:coreProperties>
</file>